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44"/>
          <w:szCs w:val="44"/>
        </w:rPr>
      </w:pPr>
      <w:r>
        <w:rPr>
          <w:rFonts w:hint="eastAsia" w:ascii="仿宋" w:hAnsi="仿宋" w:eastAsia="仿宋" w:cs="仿宋"/>
          <w:b/>
          <w:sz w:val="44"/>
          <w:szCs w:val="44"/>
        </w:rPr>
        <w:t>广东茂名健康职业学院</w:t>
      </w:r>
    </w:p>
    <w:p>
      <w:pPr>
        <w:jc w:val="center"/>
        <w:rPr>
          <w:rFonts w:ascii="仿宋" w:hAnsi="仿宋" w:eastAsia="仿宋" w:cs="仿宋"/>
          <w:b/>
          <w:sz w:val="44"/>
          <w:szCs w:val="44"/>
        </w:rPr>
      </w:pPr>
      <w:r>
        <w:rPr>
          <w:rFonts w:hint="eastAsia" w:ascii="仿宋" w:hAnsi="仿宋" w:eastAsia="仿宋" w:cs="仿宋"/>
          <w:b/>
          <w:sz w:val="44"/>
          <w:szCs w:val="44"/>
        </w:rPr>
        <w:t>食堂食材定点供应商招标方案</w:t>
      </w:r>
    </w:p>
    <w:p/>
    <w:p>
      <w:pPr>
        <w:pStyle w:val="2"/>
      </w:pPr>
    </w:p>
    <w:p>
      <w:pPr>
        <w:shd w:val="clear" w:color="auto" w:fill="FFFFFF" w:themeFill="background1"/>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为做好学生食堂工作，保证饭菜质量，稳定饭菜价格,保障学生食堂大宗食品原材料供应质量，降低进货成本，本着公开、公平、公正和诚实信用的原则，对广东茂名健康职业学院学生食堂食材集中采购，现面向社会公开招标供应商资质，欢迎符合相关资质要求、有供货能力的、遵守政府采购法律、法规的商家踊跃参加。</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一、采购项目名称：广东茂名健康职业学院学生食堂食材定点供应商招标</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二、采购内容：</w:t>
      </w:r>
    </w:p>
    <w:tbl>
      <w:tblPr>
        <w:tblStyle w:val="8"/>
        <w:tblW w:w="7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5" w:type="dxa"/>
            <w:vAlign w:val="center"/>
          </w:tcPr>
          <w:p>
            <w:pPr>
              <w:pStyle w:val="9"/>
              <w:widowControl w:val="0"/>
              <w:ind w:firstLine="480"/>
              <w:jc w:val="center"/>
            </w:pPr>
            <w:bookmarkStart w:id="0" w:name="_GoBack"/>
            <w:bookmarkEnd w:id="0"/>
            <w:r>
              <w:rPr>
                <w:rFonts w:hint="eastAsia"/>
              </w:rPr>
              <w:t>项目内容</w:t>
            </w:r>
          </w:p>
        </w:tc>
        <w:tc>
          <w:tcPr>
            <w:tcW w:w="4347" w:type="dxa"/>
            <w:vAlign w:val="center"/>
          </w:tcPr>
          <w:p>
            <w:pPr>
              <w:pStyle w:val="9"/>
              <w:widowControl w:val="0"/>
              <w:ind w:firstLine="48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5" w:type="dxa"/>
          </w:tcPr>
          <w:p>
            <w:pPr>
              <w:pStyle w:val="9"/>
              <w:widowControl w:val="0"/>
              <w:ind w:firstLine="480"/>
              <w:jc w:val="both"/>
            </w:pPr>
            <w:r>
              <w:rPr>
                <w:rFonts w:hint="eastAsia"/>
              </w:rPr>
              <w:t>副食品、厨房用日杂百货</w:t>
            </w:r>
          </w:p>
        </w:tc>
        <w:tc>
          <w:tcPr>
            <w:tcW w:w="4347" w:type="dxa"/>
          </w:tcPr>
          <w:p>
            <w:pPr>
              <w:pStyle w:val="9"/>
              <w:widowControl w:val="0"/>
              <w:ind w:firstLine="0" w:firstLineChars="0"/>
              <w:jc w:val="both"/>
            </w:pPr>
            <w:r>
              <w:rPr>
                <w:rFonts w:hint="eastAsia"/>
              </w:rPr>
              <w:t>调味料、干货、日杂用品、清洁用品</w:t>
            </w:r>
          </w:p>
        </w:tc>
      </w:tr>
    </w:tbl>
    <w:p>
      <w:pPr>
        <w:shd w:val="clear" w:color="auto" w:fill="FFFFFF" w:themeFill="background1"/>
        <w:spacing w:line="360" w:lineRule="auto"/>
        <w:rPr>
          <w:rFonts w:ascii="仿宋" w:hAnsi="仿宋" w:eastAsia="仿宋" w:cs="仿宋"/>
          <w:sz w:val="28"/>
          <w:szCs w:val="28"/>
        </w:rPr>
      </w:pPr>
      <w:r>
        <w:rPr>
          <w:rFonts w:hint="eastAsia" w:ascii="仿宋" w:hAnsi="仿宋" w:eastAsia="仿宋" w:cs="仿宋"/>
          <w:sz w:val="28"/>
          <w:szCs w:val="28"/>
        </w:rPr>
        <w:t>供货服务年限2年（若甲方食堂外包经营不再自行经营，无条件解除合同。）</w:t>
      </w:r>
    </w:p>
    <w:p>
      <w:pPr>
        <w:spacing w:before="31" w:beforeLines="10" w:after="31" w:afterLines="10" w:line="360" w:lineRule="auto"/>
        <w:rPr>
          <w:rFonts w:ascii="仿宋" w:hAnsi="仿宋" w:eastAsia="仿宋" w:cs="仿宋"/>
          <w:b/>
          <w:color w:val="000000"/>
          <w:sz w:val="28"/>
          <w:szCs w:val="28"/>
        </w:rPr>
      </w:pPr>
      <w:r>
        <w:rPr>
          <w:rFonts w:hint="eastAsia" w:ascii="仿宋" w:hAnsi="仿宋" w:eastAsia="仿宋" w:cs="仿宋"/>
          <w:sz w:val="28"/>
          <w:szCs w:val="28"/>
        </w:rPr>
        <w:t>三、</w:t>
      </w:r>
      <w:r>
        <w:rPr>
          <w:rFonts w:hint="eastAsia" w:ascii="仿宋" w:hAnsi="仿宋" w:eastAsia="仿宋" w:cs="仿宋"/>
          <w:b/>
          <w:color w:val="000000"/>
          <w:sz w:val="28"/>
          <w:szCs w:val="28"/>
        </w:rPr>
        <w:t>投标人资格要求</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投标人应具备《中华人民共和国政府采购法》</w:t>
      </w:r>
      <w:r>
        <w:rPr>
          <w:rFonts w:hint="eastAsia" w:ascii="仿宋" w:hAnsi="仿宋" w:eastAsia="仿宋" w:cs="仿宋"/>
          <w:sz w:val="28"/>
          <w:szCs w:val="28"/>
        </w:rPr>
        <w:t>第二十二条规定的条件：</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（1）具有独立承担民事责任的能力；</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（2）法律、行政法规规定的其他条件。</w:t>
      </w:r>
    </w:p>
    <w:p>
      <w:pPr>
        <w:shd w:val="clear" w:color="auto" w:fill="FFFFFF" w:themeFill="background1"/>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标人须是中华人民共和国境内注册的企业法人，需具有有效的工商营业执照、《食品流通许可证》或《食品经营许可证》、税务证件，所有证件必须具有本项目内容的经营范围。（以上证件需复印件加盖公章）</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3、投标人必须具备对公账户和提供正式发票。</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4、法人及项目负责人证明书及项目负责人授权书（复印件加盖公章）。</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5、法人及项目负责人身份证（复印件加盖公章）。</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6、投标人须提供近3年无重大违法记录声明。</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三、商务要求</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（一）采购商品质量及供货服务等要求</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1、供货商提供的食品必须是合法货源，能够提供对应有效的税务发票。投标人具备对公账户和提供正式发票。具有本项目内容的经营范围。所有采购品种规格以校方要求为准。</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2、具有长期供货能力，对有要求加工场地；每天具有按时供货服务能力，要提供相对应的质量检验报告；符合国家法律法规中对集体食堂大宗物品配送的所有要求。</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投标人不接受联合体投标，不能转包、分包。不能同时参与学院其他食材项目的投标。两家或以上供应商有如下情况之一的，不得同时参加投标，一经发现将均作无效投标处理：（1）法定代表人为同一人的；（2）存在控股或管理关系的。</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4、供应商须具有良好的经商信誉，有其它大型餐饮食堂供货经验。有具有相关产品的储藏、运输、配送设备。</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5、具备提供优质服务的能力，在以往的生产或经营活动中无任何违法及不良记录。</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6、中标供应商根据双方签定的供货合同要求进行验收，如果供应商无法按协议要求供应，可由采购人自行采购。</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7、具有相对较好的服务承诺及质量保证。投标人提供的所有货物和服务，其质量、技术等特征必须符合国家、行业现行的标准及采购人需求。</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8、学校目前供应冷冻类、新鲜肉、果蔬类供应商不得参与投标。</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四、评标的程序及方法</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1、初步评审</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评审小组按照招标要求对比投标件进行审查，只有对《初步审查表》所列各项作出实质性响应的比选文件才能通过初步评审。对是否实质性响应比选文件的要求有争议的比选文件，评审小组将以记名方式表决，被认为响应的得票超过半数的比选人有资格进入下一阶段的评审，否则将被淘汰。</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（2）只有通过初步评审的比选人才能进入详细评审。</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2、综合评审</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（1）招标由广东茂名健康职业学院招标办评审组依照政府采购法律、法规、规章、广东茂名健康职业学院招标采购管理规定，组建的招标小组负责。</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（2）招标小组依法根据招标文件的规定与响应供应商进行招标及对招标响应文件进行评审,并据此推荐成交候选人。</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3、综合评分法</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（1）综合得分=商务技术得分+价格得分</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根据投标人最终得分按照由高到低的顺序确定名次。本次评标选取2名中标候选人，第1名候选人作为主要供货商，当第1名候选人无法满足供货需求时（货物不能满足、货物质量差、价格高、双方存在争议等情况）；招标人转向第2名候选人采购，同样道理，当第2名候选人无法满足供货需求时，采购人有可转向第1名候选人采购。</w:t>
      </w: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（2）权重分配</w:t>
      </w:r>
    </w:p>
    <w:tbl>
      <w:tblPr>
        <w:tblStyle w:val="7"/>
        <w:tblW w:w="7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04"/>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88"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评分项目</w:t>
            </w:r>
          </w:p>
        </w:tc>
        <w:tc>
          <w:tcPr>
            <w:tcW w:w="2404"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商务技术部分</w:t>
            </w:r>
          </w:p>
        </w:tc>
        <w:tc>
          <w:tcPr>
            <w:tcW w:w="2586"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88"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权重</w:t>
            </w:r>
          </w:p>
        </w:tc>
        <w:tc>
          <w:tcPr>
            <w:tcW w:w="2404"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70%</w:t>
            </w:r>
          </w:p>
        </w:tc>
        <w:tc>
          <w:tcPr>
            <w:tcW w:w="2586"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88"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满分</w:t>
            </w:r>
          </w:p>
        </w:tc>
        <w:tc>
          <w:tcPr>
            <w:tcW w:w="2404"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70分</w:t>
            </w:r>
          </w:p>
        </w:tc>
        <w:tc>
          <w:tcPr>
            <w:tcW w:w="2586" w:type="dxa"/>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30分</w:t>
            </w:r>
          </w:p>
        </w:tc>
      </w:tr>
    </w:tbl>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（3）评分标准</w:t>
      </w:r>
    </w:p>
    <w:tbl>
      <w:tblPr>
        <w:tblStyle w:val="7"/>
        <w:tblW w:w="9120" w:type="dxa"/>
        <w:jc w:val="center"/>
        <w:tblInd w:w="0" w:type="dxa"/>
        <w:tblLayout w:type="fixed"/>
        <w:tblCellMar>
          <w:top w:w="0" w:type="dxa"/>
          <w:left w:w="0" w:type="dxa"/>
          <w:bottom w:w="0" w:type="dxa"/>
          <w:right w:w="0" w:type="dxa"/>
        </w:tblCellMar>
      </w:tblPr>
      <w:tblGrid>
        <w:gridCol w:w="637"/>
        <w:gridCol w:w="853"/>
        <w:gridCol w:w="6058"/>
        <w:gridCol w:w="599"/>
        <w:gridCol w:w="973"/>
      </w:tblGrid>
      <w:tr>
        <w:tblPrEx>
          <w:tblLayout w:type="fixed"/>
          <w:tblCellMar>
            <w:top w:w="0" w:type="dxa"/>
            <w:left w:w="0" w:type="dxa"/>
            <w:bottom w:w="0" w:type="dxa"/>
            <w:right w:w="0" w:type="dxa"/>
          </w:tblCellMar>
        </w:tblPrEx>
        <w:trPr>
          <w:trHeight w:val="672" w:hRule="atLeast"/>
          <w:jc w:val="center"/>
        </w:trPr>
        <w:tc>
          <w:tcPr>
            <w:tcW w:w="9120" w:type="dxa"/>
            <w:gridSpan w:val="5"/>
            <w:tcBorders>
              <w:top w:val="nil"/>
              <w:left w:val="nil"/>
              <w:bottom w:val="nil"/>
              <w:right w:val="nil"/>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商务技术评分表（70分）</w:t>
            </w:r>
          </w:p>
        </w:tc>
      </w:tr>
      <w:tr>
        <w:tblPrEx>
          <w:tblLayout w:type="fixed"/>
          <w:tblCellMar>
            <w:top w:w="0" w:type="dxa"/>
            <w:left w:w="0" w:type="dxa"/>
            <w:bottom w:w="0" w:type="dxa"/>
            <w:right w:w="0" w:type="dxa"/>
          </w:tblCellMar>
        </w:tblPrEx>
        <w:trPr>
          <w:trHeight w:val="960" w:hRule="atLeast"/>
          <w:jc w:val="center"/>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序号</w:t>
            </w: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评分</w:t>
            </w:r>
          </w:p>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项目</w:t>
            </w: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评分标准及分值</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权重分值</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投标人得分</w:t>
            </w:r>
          </w:p>
        </w:tc>
      </w:tr>
      <w:tr>
        <w:tblPrEx>
          <w:tblLayout w:type="fixed"/>
          <w:tblCellMar>
            <w:top w:w="0" w:type="dxa"/>
            <w:left w:w="0" w:type="dxa"/>
            <w:bottom w:w="0" w:type="dxa"/>
            <w:right w:w="0" w:type="dxa"/>
          </w:tblCellMar>
        </w:tblPrEx>
        <w:trPr>
          <w:trHeight w:val="2328" w:hRule="atLeast"/>
          <w:jc w:val="center"/>
        </w:trPr>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w:t>
            </w: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投标人资质</w:t>
            </w: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企业资质高（10分）</w:t>
            </w:r>
            <w:r>
              <w:rPr>
                <w:rFonts w:hint="eastAsia" w:ascii="仿宋" w:hAnsi="仿宋" w:eastAsia="仿宋" w:cs="仿宋"/>
              </w:rPr>
              <w:br w:type="textWrapping"/>
            </w:r>
            <w:r>
              <w:rPr>
                <w:rFonts w:hint="eastAsia" w:ascii="仿宋" w:hAnsi="仿宋" w:eastAsia="仿宋" w:cs="仿宋"/>
              </w:rPr>
              <w:t>企业资质良好（6分）</w:t>
            </w:r>
            <w:r>
              <w:rPr>
                <w:rFonts w:hint="eastAsia" w:ascii="仿宋" w:hAnsi="仿宋" w:eastAsia="仿宋" w:cs="仿宋"/>
              </w:rPr>
              <w:br w:type="textWrapping"/>
            </w:r>
            <w:r>
              <w:rPr>
                <w:rFonts w:hint="eastAsia" w:ascii="仿宋" w:hAnsi="仿宋" w:eastAsia="仿宋" w:cs="仿宋"/>
              </w:rPr>
              <w:t>企业资质一般（3分）</w:t>
            </w:r>
            <w:r>
              <w:rPr>
                <w:rFonts w:hint="eastAsia" w:ascii="仿宋" w:hAnsi="仿宋" w:eastAsia="仿宋" w:cs="仿宋"/>
              </w:rPr>
              <w:br w:type="textWrapping"/>
            </w:r>
            <w:r>
              <w:rPr>
                <w:rFonts w:hint="eastAsia" w:ascii="仿宋" w:hAnsi="仿宋" w:eastAsia="仿宋" w:cs="仿宋"/>
              </w:rPr>
              <w:t>根据投标人提供的经营许可、注册规模、企业认证、产品认证，横向对比进行评价。</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10</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389" w:hRule="atLeast"/>
          <w:jc w:val="center"/>
        </w:trPr>
        <w:tc>
          <w:tcPr>
            <w:tcW w:w="6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2</w:t>
            </w:r>
          </w:p>
        </w:tc>
        <w:tc>
          <w:tcPr>
            <w:tcW w:w="8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项目</w:t>
            </w:r>
          </w:p>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经验</w:t>
            </w:r>
          </w:p>
        </w:tc>
        <w:tc>
          <w:tcPr>
            <w:tcW w:w="60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提供近3年内茂名地区内供应大型机关、事业单位、企业食堂、酒店、学校食堂等单位同类型业绩，每个得</w:t>
            </w:r>
            <w:r>
              <w:rPr>
                <w:rFonts w:hint="eastAsia" w:ascii="仿宋" w:hAnsi="仿宋" w:eastAsia="仿宋" w:cs="仿宋"/>
                <w:lang w:val="en-US" w:eastAsia="zh-CN"/>
              </w:rPr>
              <w:t>2</w:t>
            </w:r>
            <w:r>
              <w:rPr>
                <w:rFonts w:hint="eastAsia" w:ascii="仿宋" w:hAnsi="仿宋" w:eastAsia="仿宋" w:cs="仿宋"/>
              </w:rPr>
              <w:t>分，最高分</w:t>
            </w:r>
            <w:r>
              <w:rPr>
                <w:rFonts w:hint="eastAsia" w:ascii="仿宋" w:hAnsi="仿宋" w:eastAsia="仿宋" w:cs="仿宋"/>
                <w:lang w:val="en-US" w:eastAsia="zh-CN"/>
              </w:rPr>
              <w:t>12</w:t>
            </w:r>
            <w:r>
              <w:rPr>
                <w:rFonts w:hint="eastAsia" w:ascii="仿宋" w:hAnsi="仿宋" w:eastAsia="仿宋" w:cs="仿宋"/>
              </w:rPr>
              <w:t>分（提供合同复印件加盖公章</w:t>
            </w:r>
            <w:r>
              <w:rPr>
                <w:rFonts w:hint="eastAsia" w:ascii="仿宋" w:hAnsi="仿宋" w:eastAsia="仿宋" w:cs="仿宋"/>
                <w:lang w:eastAsia="zh-CN"/>
              </w:rPr>
              <w:t>，</w:t>
            </w:r>
            <w:r>
              <w:rPr>
                <w:rFonts w:hint="eastAsia" w:ascii="仿宋" w:hAnsi="仿宋" w:eastAsia="仿宋" w:cs="仿宋"/>
                <w:lang w:val="en-US" w:eastAsia="zh-CN"/>
              </w:rPr>
              <w:t>原件备查</w:t>
            </w:r>
            <w:r>
              <w:rPr>
                <w:rFonts w:hint="eastAsia" w:ascii="仿宋" w:hAnsi="仿宋" w:eastAsia="仿宋" w:cs="仿宋"/>
              </w:rPr>
              <w:t>）</w:t>
            </w:r>
          </w:p>
        </w:tc>
        <w:tc>
          <w:tcPr>
            <w:tcW w:w="59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p>
        </w:tc>
        <w:tc>
          <w:tcPr>
            <w:tcW w:w="97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872" w:hRule="atLeast"/>
          <w:jc w:val="center"/>
        </w:trPr>
        <w:tc>
          <w:tcPr>
            <w:tcW w:w="6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3</w:t>
            </w:r>
          </w:p>
        </w:tc>
        <w:tc>
          <w:tcPr>
            <w:tcW w:w="8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仓储能力</w:t>
            </w: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横向比较供货商仓储能力或生产能力，根据提供的仓库面积、现场照片、仓库设施，或自有生产基地等佐证材料进行评比（需提供仓库房产证明或租赁合同）</w:t>
            </w:r>
            <w:r>
              <w:rPr>
                <w:rFonts w:hint="eastAsia" w:ascii="仿宋" w:hAnsi="仿宋" w:eastAsia="仿宋" w:cs="仿宋"/>
              </w:rPr>
              <w:br w:type="textWrapping"/>
            </w:r>
            <w:r>
              <w:rPr>
                <w:rFonts w:hint="eastAsia" w:ascii="仿宋" w:hAnsi="仿宋" w:eastAsia="仿宋" w:cs="仿宋"/>
              </w:rPr>
              <w:t>最好（6分）  好（3分） 一般（1分）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6</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872" w:hRule="atLeast"/>
          <w:jc w:val="center"/>
        </w:trPr>
        <w:tc>
          <w:tcPr>
            <w:tcW w:w="6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4</w:t>
            </w:r>
          </w:p>
        </w:tc>
        <w:tc>
          <w:tcPr>
            <w:tcW w:w="8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企业实力</w:t>
            </w: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hint="eastAsia" w:ascii="仿宋" w:hAnsi="仿宋" w:eastAsia="仿宋" w:cs="仿宋"/>
              </w:rPr>
            </w:pPr>
            <w:r>
              <w:rPr>
                <w:rFonts w:hint="eastAsia" w:ascii="仿宋" w:hAnsi="仿宋" w:eastAsia="仿宋" w:cs="仿宋"/>
              </w:rPr>
              <w:t>ISO9000质量管理体系认证证书得3分；</w:t>
            </w:r>
          </w:p>
          <w:p>
            <w:pPr>
              <w:shd w:val="clear" w:color="auto" w:fill="FFFFFF" w:themeFill="background1"/>
              <w:spacing w:line="360" w:lineRule="auto"/>
              <w:rPr>
                <w:rFonts w:hint="eastAsia" w:ascii="仿宋" w:hAnsi="仿宋" w:eastAsia="仿宋" w:cs="仿宋"/>
              </w:rPr>
            </w:pPr>
            <w:r>
              <w:rPr>
                <w:rFonts w:hint="eastAsia" w:ascii="仿宋" w:hAnsi="仿宋" w:eastAsia="仿宋" w:cs="仿宋"/>
              </w:rPr>
              <w:t>ISO14000环境管理体系认证证书得2分；</w:t>
            </w:r>
          </w:p>
          <w:p>
            <w:pPr>
              <w:shd w:val="clear" w:color="auto" w:fill="FFFFFF" w:themeFill="background1"/>
              <w:spacing w:line="360" w:lineRule="auto"/>
              <w:rPr>
                <w:rFonts w:hint="eastAsia" w:ascii="仿宋" w:hAnsi="仿宋" w:eastAsia="仿宋" w:cs="仿宋"/>
              </w:rPr>
            </w:pPr>
            <w:r>
              <w:rPr>
                <w:rFonts w:hint="eastAsia" w:ascii="仿宋" w:hAnsi="仿宋" w:eastAsia="仿宋" w:cs="仿宋"/>
              </w:rPr>
              <w:t>职业健康安全管理认证证书得2分。</w:t>
            </w:r>
          </w:p>
          <w:p>
            <w:pPr>
              <w:shd w:val="clear" w:color="auto" w:fill="FFFFFF" w:themeFill="background1"/>
              <w:spacing w:line="360" w:lineRule="auto"/>
              <w:rPr>
                <w:rFonts w:ascii="仿宋" w:hAnsi="仿宋" w:eastAsia="仿宋" w:cs="仿宋"/>
              </w:rPr>
            </w:pPr>
            <w:r>
              <w:rPr>
                <w:rFonts w:hint="eastAsia" w:ascii="仿宋" w:hAnsi="仿宋" w:eastAsia="仿宋" w:cs="仿宋"/>
              </w:rPr>
              <w:t>注：提供有效期内的证书复印件加盖公章。</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7</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416" w:hRule="atLeast"/>
          <w:jc w:val="center"/>
        </w:trPr>
        <w:tc>
          <w:tcPr>
            <w:tcW w:w="6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5</w:t>
            </w:r>
          </w:p>
        </w:tc>
        <w:tc>
          <w:tcPr>
            <w:tcW w:w="85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拟投入人员情况</w:t>
            </w:r>
          </w:p>
        </w:tc>
        <w:tc>
          <w:tcPr>
            <w:tcW w:w="60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横向比较企业该项目配备人员情况，提供购买社保证明、健康证证明为佐证材料，不提供不得分。</w:t>
            </w:r>
          </w:p>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最好（6分）  好（3分） 一般（1分）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6</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416" w:hRule="atLeast"/>
          <w:jc w:val="center"/>
        </w:trPr>
        <w:tc>
          <w:tcPr>
            <w:tcW w:w="6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6</w:t>
            </w:r>
          </w:p>
        </w:tc>
        <w:tc>
          <w:tcPr>
            <w:tcW w:w="85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ascii="仿宋" w:hAnsi="仿宋" w:eastAsia="仿宋" w:cs="仿宋"/>
              </w:rPr>
            </w:pPr>
            <w:r>
              <w:rPr>
                <w:rFonts w:hint="eastAsia" w:ascii="仿宋" w:hAnsi="仿宋" w:eastAsia="仿宋" w:cs="仿宋"/>
              </w:rPr>
              <w:t>运营保证</w:t>
            </w:r>
          </w:p>
        </w:tc>
        <w:tc>
          <w:tcPr>
            <w:tcW w:w="60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rPr>
                <w:rFonts w:hint="eastAsia" w:ascii="仿宋" w:hAnsi="仿宋" w:eastAsia="仿宋" w:cs="仿宋"/>
              </w:rPr>
            </w:pPr>
            <w:r>
              <w:rPr>
                <w:rFonts w:hint="eastAsia" w:ascii="仿宋" w:hAnsi="仿宋" w:eastAsia="仿宋" w:cs="仿宋"/>
              </w:rPr>
              <w:t>为本项目配备的配送货车（车辆类型以行驶证所载类型为准）数量进行打分：每投入一辆自有货车得1分（其它车辆不得分），最高6分。</w:t>
            </w:r>
          </w:p>
          <w:p>
            <w:pPr>
              <w:shd w:val="clear" w:color="auto" w:fill="FFFFFF" w:themeFill="background1"/>
              <w:spacing w:line="360" w:lineRule="auto"/>
              <w:rPr>
                <w:rFonts w:ascii="仿宋" w:hAnsi="仿宋" w:eastAsia="仿宋" w:cs="仿宋"/>
              </w:rPr>
            </w:pPr>
            <w:r>
              <w:rPr>
                <w:rFonts w:hint="eastAsia" w:ascii="仿宋" w:hAnsi="仿宋" w:eastAsia="仿宋" w:cs="仿宋"/>
              </w:rPr>
              <w:t>注：提供年审有效期内的自有货车车辆行驶证、机动车辆登记证书复印件（加盖投标人公章）或车辆租赁协议，车辆类型以行驶证或机动车辆登记证书所载类型为准，无则不得分。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6</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872" w:hRule="atLeast"/>
          <w:jc w:val="center"/>
        </w:trPr>
        <w:tc>
          <w:tcPr>
            <w:tcW w:w="63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7</w:t>
            </w:r>
          </w:p>
        </w:tc>
        <w:tc>
          <w:tcPr>
            <w:tcW w:w="85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宋体" w:hAnsi="宋体"/>
                <w:szCs w:val="21"/>
              </w:rPr>
              <w:t>服务承诺及质量评价</w:t>
            </w: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hd w:val="clear" w:fill="FFFFFF" w:themeFill="background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横向对比</w:t>
            </w:r>
            <w:r>
              <w:rPr>
                <w:rFonts w:hint="eastAsia" w:ascii="仿宋" w:hAnsi="仿宋" w:eastAsia="仿宋" w:cs="仿宋"/>
                <w:sz w:val="24"/>
                <w:szCs w:val="24"/>
                <w:highlight w:val="none"/>
              </w:rPr>
              <w:t>货源可靠性（如：</w:t>
            </w:r>
            <w:r>
              <w:rPr>
                <w:rFonts w:hint="eastAsia" w:ascii="仿宋" w:hAnsi="仿宋" w:eastAsia="仿宋" w:cs="仿宋"/>
                <w:sz w:val="24"/>
                <w:szCs w:val="24"/>
                <w:highlight w:val="none"/>
                <w:lang w:val="en-US" w:eastAsia="zh-CN"/>
              </w:rPr>
              <w:t>属于大型企业产品、</w:t>
            </w:r>
            <w:r>
              <w:rPr>
                <w:rFonts w:hint="eastAsia" w:ascii="仿宋" w:hAnsi="仿宋" w:eastAsia="仿宋" w:cs="仿宋"/>
                <w:sz w:val="24"/>
                <w:szCs w:val="24"/>
                <w:highlight w:val="none"/>
              </w:rPr>
              <w:t>提供可靠机构供货</w:t>
            </w:r>
            <w:r>
              <w:rPr>
                <w:rFonts w:hint="eastAsia" w:ascii="仿宋" w:hAnsi="仿宋" w:eastAsia="仿宋" w:cs="仿宋"/>
                <w:sz w:val="24"/>
                <w:szCs w:val="24"/>
                <w:highlight w:val="none"/>
                <w:lang w:val="en-US" w:eastAsia="zh-CN"/>
              </w:rPr>
              <w:t>证明</w:t>
            </w:r>
            <w:r>
              <w:rPr>
                <w:rFonts w:hint="eastAsia" w:ascii="仿宋" w:hAnsi="仿宋" w:eastAsia="仿宋" w:cs="仿宋"/>
                <w:sz w:val="24"/>
                <w:szCs w:val="24"/>
                <w:highlight w:val="none"/>
              </w:rPr>
              <w:t>，货品品牌</w:t>
            </w:r>
            <w:r>
              <w:rPr>
                <w:rFonts w:hint="eastAsia" w:ascii="仿宋" w:hAnsi="仿宋" w:eastAsia="仿宋" w:cs="仿宋"/>
                <w:sz w:val="24"/>
                <w:szCs w:val="24"/>
                <w:highlight w:val="none"/>
                <w:lang w:val="en-US" w:eastAsia="zh-CN"/>
              </w:rPr>
              <w:t>知名度高</w:t>
            </w:r>
            <w:r>
              <w:rPr>
                <w:rFonts w:hint="eastAsia" w:ascii="仿宋" w:hAnsi="仿宋" w:eastAsia="仿宋" w:cs="仿宋"/>
                <w:sz w:val="24"/>
                <w:szCs w:val="24"/>
                <w:highlight w:val="none"/>
              </w:rPr>
              <w:t>）：</w:t>
            </w:r>
          </w:p>
          <w:p>
            <w:pPr>
              <w:numPr>
                <w:ilvl w:val="0"/>
                <w:numId w:val="0"/>
              </w:numPr>
              <w:shd w:val="clear" w:fill="FFFFFF" w:themeFill="background1"/>
              <w:spacing w:line="360" w:lineRule="auto"/>
              <w:rPr>
                <w:rFonts w:hint="eastAsia" w:ascii="仿宋" w:hAnsi="仿宋" w:eastAsia="仿宋" w:cs="仿宋"/>
                <w:sz w:val="24"/>
                <w:szCs w:val="24"/>
                <w:highlight w:val="none"/>
                <w:lang w:val="en-GB"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GB"/>
              </w:rPr>
              <w:t>货源可靠性保障程度高的得</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val="en-GB"/>
              </w:rPr>
              <w:t>分</w:t>
            </w:r>
            <w:r>
              <w:rPr>
                <w:rFonts w:hint="eastAsia" w:ascii="仿宋" w:hAnsi="仿宋" w:eastAsia="仿宋" w:cs="仿宋"/>
                <w:sz w:val="24"/>
                <w:szCs w:val="24"/>
                <w:highlight w:val="none"/>
                <w:lang w:val="en-GB" w:eastAsia="zh-CN"/>
              </w:rPr>
              <w:t>；</w:t>
            </w:r>
          </w:p>
          <w:p>
            <w:pPr>
              <w:numPr>
                <w:ilvl w:val="0"/>
                <w:numId w:val="0"/>
              </w:numPr>
              <w:shd w:val="clear" w:fill="FFFFFF" w:themeFill="background1"/>
              <w:spacing w:line="360" w:lineRule="auto"/>
              <w:rPr>
                <w:rFonts w:hint="eastAsia" w:ascii="仿宋" w:hAnsi="仿宋" w:eastAsia="仿宋" w:cs="仿宋"/>
                <w:sz w:val="24"/>
                <w:szCs w:val="24"/>
                <w:highlight w:val="none"/>
                <w:lang w:val="en-GB"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GB"/>
              </w:rPr>
              <w:t>货源可靠性保障程度较好的得</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en-GB"/>
              </w:rPr>
              <w:t>分</w:t>
            </w:r>
            <w:r>
              <w:rPr>
                <w:rFonts w:hint="eastAsia" w:ascii="仿宋" w:hAnsi="仿宋" w:eastAsia="仿宋" w:cs="仿宋"/>
                <w:sz w:val="24"/>
                <w:szCs w:val="24"/>
                <w:highlight w:val="none"/>
                <w:lang w:val="en-GB" w:eastAsia="zh-CN"/>
              </w:rPr>
              <w:t>；</w:t>
            </w:r>
          </w:p>
          <w:p>
            <w:pPr>
              <w:numPr>
                <w:ilvl w:val="0"/>
                <w:numId w:val="0"/>
              </w:numPr>
              <w:shd w:val="clear" w:fill="FFFFFF" w:themeFill="background1"/>
              <w:spacing w:line="360" w:lineRule="auto"/>
              <w:rPr>
                <w:rFonts w:hint="eastAsia" w:ascii="仿宋" w:hAnsi="仿宋" w:eastAsia="仿宋" w:cs="仿宋"/>
                <w:sz w:val="24"/>
                <w:szCs w:val="24"/>
                <w:highlight w:val="none"/>
                <w:lang w:val="en-GB"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GB"/>
              </w:rPr>
              <w:t>货源可靠性保障程度一般的得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GB"/>
              </w:rPr>
              <w:t>分</w:t>
            </w:r>
            <w:r>
              <w:rPr>
                <w:rFonts w:hint="eastAsia" w:ascii="仿宋" w:hAnsi="仿宋" w:eastAsia="仿宋" w:cs="仿宋"/>
                <w:sz w:val="24"/>
                <w:szCs w:val="24"/>
                <w:highlight w:val="none"/>
                <w:lang w:val="en-GB" w:eastAsia="zh-CN"/>
              </w:rPr>
              <w:t>；</w:t>
            </w:r>
          </w:p>
          <w:p>
            <w:pPr>
              <w:shd w:val="clear" w:color="auto" w:fill="FFFFFF" w:themeFill="background1"/>
              <w:spacing w:line="360" w:lineRule="auto"/>
              <w:rPr>
                <w:rFonts w:ascii="仿宋" w:hAnsi="仿宋" w:eastAsia="仿宋" w:cs="仿宋"/>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GB"/>
              </w:rPr>
              <w:t>货源可靠性保障程度差的得1分。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hint="eastAsia" w:ascii="仿宋" w:hAnsi="仿宋" w:eastAsia="仿宋" w:cs="仿宋"/>
                <w:lang w:eastAsia="zh-CN"/>
              </w:rPr>
            </w:pPr>
            <w:r>
              <w:rPr>
                <w:rFonts w:hint="eastAsia" w:ascii="仿宋" w:hAnsi="仿宋" w:eastAsia="仿宋" w:cs="仿宋"/>
                <w:lang w:val="en-US" w:eastAsia="zh-CN"/>
              </w:rPr>
              <w:t>13</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1872" w:hRule="atLeast"/>
          <w:jc w:val="center"/>
        </w:trPr>
        <w:tc>
          <w:tcPr>
            <w:tcW w:w="63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p>
        </w:tc>
        <w:tc>
          <w:tcPr>
            <w:tcW w:w="85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p>
        </w:tc>
        <w:tc>
          <w:tcPr>
            <w:tcW w:w="60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hd w:val="clear" w:fill="FFFFFF" w:themeFill="background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GB"/>
              </w:rPr>
              <w:t>在实施全过程中的卫生保障计划、措施及</w:t>
            </w:r>
            <w:r>
              <w:rPr>
                <w:rFonts w:hint="eastAsia" w:ascii="仿宋" w:hAnsi="仿宋" w:eastAsia="仿宋" w:cs="仿宋"/>
                <w:sz w:val="24"/>
                <w:szCs w:val="24"/>
                <w:highlight w:val="none"/>
              </w:rPr>
              <w:t>不合格货物退换方案</w:t>
            </w:r>
            <w:r>
              <w:rPr>
                <w:rFonts w:hint="eastAsia" w:ascii="仿宋" w:hAnsi="仿宋" w:eastAsia="仿宋" w:cs="仿宋"/>
                <w:sz w:val="24"/>
                <w:szCs w:val="24"/>
                <w:highlight w:val="none"/>
                <w:lang w:val="en-GB"/>
              </w:rPr>
              <w:t>承诺</w:t>
            </w:r>
            <w:r>
              <w:rPr>
                <w:rFonts w:hint="eastAsia" w:ascii="仿宋" w:hAnsi="仿宋" w:eastAsia="仿宋" w:cs="仿宋"/>
                <w:sz w:val="24"/>
                <w:szCs w:val="24"/>
                <w:highlight w:val="none"/>
              </w:rPr>
              <w:t>：1.方案承诺详细，合理得10分；</w:t>
            </w:r>
          </w:p>
          <w:p>
            <w:pPr>
              <w:numPr>
                <w:ilvl w:val="0"/>
                <w:numId w:val="0"/>
              </w:numPr>
              <w:shd w:val="clear" w:fill="FFFFFF" w:themeFill="background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2.方案承诺比较详细，一般合理得6分；</w:t>
            </w:r>
          </w:p>
          <w:p>
            <w:pPr>
              <w:numPr>
                <w:ilvl w:val="0"/>
                <w:numId w:val="0"/>
              </w:numPr>
              <w:shd w:val="clear" w:fill="FFFFFF" w:themeFill="background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3.方案承诺一般的得3分；</w:t>
            </w:r>
          </w:p>
          <w:p>
            <w:pPr>
              <w:numPr>
                <w:ilvl w:val="0"/>
                <w:numId w:val="0"/>
              </w:numPr>
              <w:shd w:val="clear" w:fill="FFFFFF" w:themeFill="background1"/>
              <w:spacing w:line="360" w:lineRule="auto"/>
              <w:rPr>
                <w:rFonts w:ascii="宋体" w:cs="宋体"/>
                <w:szCs w:val="21"/>
              </w:rPr>
            </w:pPr>
            <w:r>
              <w:rPr>
                <w:rFonts w:hint="eastAsia" w:ascii="仿宋" w:hAnsi="仿宋" w:eastAsia="仿宋" w:cs="仿宋"/>
                <w:sz w:val="24"/>
                <w:szCs w:val="24"/>
                <w:highlight w:val="none"/>
              </w:rPr>
              <w:t>4.方案差的得1分。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10</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623" w:hRule="atLeast"/>
          <w:jc w:val="center"/>
        </w:trPr>
        <w:tc>
          <w:tcPr>
            <w:tcW w:w="75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合计</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70</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bl>
    <w:p>
      <w:pPr>
        <w:shd w:val="clear" w:color="auto" w:fill="FFFFFF" w:themeFill="background1"/>
        <w:spacing w:line="360" w:lineRule="auto"/>
        <w:ind w:firstLine="560" w:firstLineChars="200"/>
        <w:rPr>
          <w:rFonts w:hint="eastAsia" w:ascii="仿宋" w:hAnsi="仿宋" w:eastAsia="仿宋" w:cs="仿宋"/>
          <w:sz w:val="28"/>
          <w:szCs w:val="28"/>
        </w:rPr>
      </w:pPr>
    </w:p>
    <w:p>
      <w:pPr>
        <w:shd w:val="clear" w:color="auto" w:fill="FFFFFF" w:themeFill="background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（4）价格评分</w:t>
      </w:r>
    </w:p>
    <w:tbl>
      <w:tblPr>
        <w:tblStyle w:val="7"/>
        <w:tblW w:w="9158" w:type="dxa"/>
        <w:jc w:val="center"/>
        <w:tblInd w:w="0" w:type="dxa"/>
        <w:tblLayout w:type="fixed"/>
        <w:tblCellMar>
          <w:top w:w="0" w:type="dxa"/>
          <w:left w:w="0" w:type="dxa"/>
          <w:bottom w:w="0" w:type="dxa"/>
          <w:right w:w="0" w:type="dxa"/>
        </w:tblCellMar>
      </w:tblPr>
      <w:tblGrid>
        <w:gridCol w:w="1062"/>
        <w:gridCol w:w="6526"/>
        <w:gridCol w:w="602"/>
        <w:gridCol w:w="968"/>
      </w:tblGrid>
      <w:tr>
        <w:tblPrEx>
          <w:tblLayout w:type="fixed"/>
          <w:tblCellMar>
            <w:top w:w="0" w:type="dxa"/>
            <w:left w:w="0" w:type="dxa"/>
            <w:bottom w:w="0" w:type="dxa"/>
            <w:right w:w="0" w:type="dxa"/>
          </w:tblCellMar>
        </w:tblPrEx>
        <w:trPr>
          <w:trHeight w:val="3123" w:hRule="atLeast"/>
          <w:jc w:val="center"/>
        </w:trPr>
        <w:tc>
          <w:tcPr>
            <w:tcW w:w="10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供货类型及价格</w:t>
            </w:r>
          </w:p>
        </w:tc>
        <w:tc>
          <w:tcPr>
            <w:tcW w:w="6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投标人按报价清单提供前两个月供货价格表，逐项比较。</w:t>
            </w:r>
          </w:p>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价格评分= [基准价格÷投标报价]×项目分值</w:t>
            </w:r>
          </w:p>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基准价为最低投标价</w:t>
            </w:r>
            <w:r>
              <w:rPr>
                <w:rFonts w:hint="eastAsia" w:ascii="仿宋" w:hAnsi="仿宋" w:eastAsia="仿宋" w:cs="仿宋"/>
              </w:rPr>
              <w:br w:type="textWrapping"/>
            </w:r>
            <w:r>
              <w:rPr>
                <w:rFonts w:hint="eastAsia" w:ascii="仿宋" w:hAnsi="仿宋" w:eastAsia="仿宋" w:cs="仿宋"/>
              </w:rPr>
              <w:t>（注：基准价为最低报价，本项提供的价格清单作为前两个月供货价格，并作为以后询价、议价的参考依据；报价清单物品超过20种的，评委抽取20种进行评分，20种以下的全部参与评分）</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15</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r>
        <w:tblPrEx>
          <w:tblLayout w:type="fixed"/>
          <w:tblCellMar>
            <w:top w:w="0" w:type="dxa"/>
            <w:left w:w="0" w:type="dxa"/>
            <w:bottom w:w="0" w:type="dxa"/>
            <w:right w:w="0" w:type="dxa"/>
          </w:tblCellMar>
        </w:tblPrEx>
        <w:trPr>
          <w:trHeight w:val="2263" w:hRule="atLeast"/>
          <w:jc w:val="center"/>
        </w:trPr>
        <w:tc>
          <w:tcPr>
            <w:tcW w:w="10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c>
          <w:tcPr>
            <w:tcW w:w="6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按市场零售价询价下浮率。供应商所供应的商品按茂名市市场价及承诺的下浮率进行结算。</w:t>
            </w:r>
          </w:p>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价格评分= [投标报价÷基准价格]×项目分值</w:t>
            </w:r>
          </w:p>
          <w:p>
            <w:pPr>
              <w:shd w:val="clear" w:color="auto" w:fill="FFFFFF" w:themeFill="background1"/>
              <w:spacing w:line="360" w:lineRule="auto"/>
              <w:ind w:firstLine="480" w:firstLineChars="200"/>
              <w:rPr>
                <w:rFonts w:ascii="仿宋" w:hAnsi="仿宋" w:eastAsia="仿宋" w:cs="仿宋"/>
              </w:rPr>
            </w:pPr>
            <w:r>
              <w:rPr>
                <w:rFonts w:hint="eastAsia" w:ascii="仿宋" w:hAnsi="仿宋" w:eastAsia="仿宋" w:cs="仿宋"/>
              </w:rPr>
              <w:t>基准价格为投标最高下浮率，投标报价为投标下浮率</w:t>
            </w:r>
          </w:p>
        </w:tc>
        <w:tc>
          <w:tcPr>
            <w:tcW w:w="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jc w:val="center"/>
              <w:rPr>
                <w:rFonts w:ascii="仿宋" w:hAnsi="仿宋" w:eastAsia="仿宋" w:cs="仿宋"/>
              </w:rPr>
            </w:pPr>
            <w:r>
              <w:rPr>
                <w:rFonts w:hint="eastAsia" w:ascii="仿宋" w:hAnsi="仿宋" w:eastAsia="仿宋" w:cs="仿宋"/>
              </w:rPr>
              <w:t>15</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color="auto" w:fill="FFFFFF" w:themeFill="background1"/>
              <w:spacing w:line="360" w:lineRule="auto"/>
              <w:ind w:firstLine="480" w:firstLineChars="200"/>
              <w:rPr>
                <w:rFonts w:ascii="仿宋" w:hAnsi="仿宋" w:eastAsia="仿宋" w:cs="仿宋"/>
              </w:rPr>
            </w:pPr>
          </w:p>
        </w:tc>
      </w:tr>
    </w:tbl>
    <w:p>
      <w:pPr>
        <w:shd w:val="clear" w:color="auto" w:fill="FFFFFF" w:themeFill="background1"/>
        <w:spacing w:line="360" w:lineRule="auto"/>
        <w:ind w:firstLine="562" w:firstLineChars="200"/>
        <w:rPr>
          <w:rFonts w:ascii="仿宋" w:hAnsi="仿宋" w:eastAsia="仿宋" w:cs="仿宋"/>
          <w:sz w:val="30"/>
          <w:szCs w:val="30"/>
        </w:rPr>
      </w:pPr>
      <w:r>
        <w:rPr>
          <w:rFonts w:hint="eastAsia" w:ascii="仿宋" w:hAnsi="仿宋" w:eastAsia="仿宋" w:cs="仿宋"/>
          <w:b/>
          <w:bCs/>
          <w:sz w:val="28"/>
          <w:szCs w:val="28"/>
        </w:rPr>
        <w:t>产品的价格：</w:t>
      </w:r>
      <w:r>
        <w:rPr>
          <w:rFonts w:hint="eastAsia" w:ascii="仿宋" w:hAnsi="仿宋" w:eastAsia="仿宋" w:cs="仿宋"/>
          <w:sz w:val="28"/>
          <w:szCs w:val="28"/>
        </w:rPr>
        <w:t>原则上按投标价进行结算，从第三个月开始，当双方有一方认为市场价格变动大，需要重新定价时，甲方进行市场询价，市场调查地点为沃尔玛、明湖、昌大昌等大型超市和河东市场、河西市场等，每次抽三个地点进行调查，以同一产品的三个调查地点零售价格平均价作为市场价，及投标下浮率确定新的供应价执行。</w:t>
      </w: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F3"/>
    <w:rsid w:val="00005001"/>
    <w:rsid w:val="000E5D67"/>
    <w:rsid w:val="005040F3"/>
    <w:rsid w:val="007070F0"/>
    <w:rsid w:val="007B7A9E"/>
    <w:rsid w:val="00BC04C2"/>
    <w:rsid w:val="00C23A4B"/>
    <w:rsid w:val="00DF1F43"/>
    <w:rsid w:val="00F727A3"/>
    <w:rsid w:val="00FA671C"/>
    <w:rsid w:val="03182015"/>
    <w:rsid w:val="1031625B"/>
    <w:rsid w:val="271B584B"/>
    <w:rsid w:val="3E21596D"/>
    <w:rsid w:val="3EF26464"/>
    <w:rsid w:val="45326C44"/>
    <w:rsid w:val="46567BCA"/>
    <w:rsid w:val="4927175A"/>
    <w:rsid w:val="4ADA6C04"/>
    <w:rsid w:val="66EE34E5"/>
    <w:rsid w:val="759E78B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标书正文1"/>
    <w:basedOn w:val="1"/>
    <w:qFormat/>
    <w:uiPriority w:val="0"/>
    <w:pPr>
      <w:spacing w:line="520" w:lineRule="exact"/>
      <w:ind w:firstLine="640" w:firstLineChars="200"/>
    </w:pPr>
    <w:rPr>
      <w:rFonts w:ascii="Times New Roman" w:hAnsi="Times New Roman"/>
    </w:rPr>
  </w:style>
  <w:style w:type="character" w:customStyle="1" w:styleId="10">
    <w:name w:val="页眉 Char"/>
    <w:basedOn w:val="6"/>
    <w:link w:val="4"/>
    <w:uiPriority w:val="0"/>
    <w:rPr>
      <w:rFonts w:ascii="Calibri" w:hAnsi="Calibri" w:eastAsia="宋体" w:cs="Times New Roman"/>
      <w:sz w:val="18"/>
      <w:szCs w:val="18"/>
    </w:rPr>
  </w:style>
  <w:style w:type="character" w:customStyle="1" w:styleId="11">
    <w:name w:val="页脚 Char"/>
    <w:basedOn w:val="6"/>
    <w:link w:val="3"/>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434</Words>
  <Characters>2478</Characters>
  <Lines>20</Lines>
  <Paragraphs>5</Paragraphs>
  <ScaleCrop>false</ScaleCrop>
  <LinksUpToDate>false</LinksUpToDate>
  <CharactersWithSpaces>2907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2021-05-25T10:33:14Z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2EB2E4DED28D4956BEED87AFDE5A17F1</vt:lpwstr>
  </property>
</Properties>
</file>