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E86" w:rsidRPr="00753E86" w:rsidRDefault="00753E86" w:rsidP="00753E86">
      <w:pPr>
        <w:widowControl/>
        <w:spacing w:before="100" w:beforeAutospacing="1" w:after="100" w:afterAutospacing="1" w:line="360" w:lineRule="auto"/>
        <w:jc w:val="center"/>
        <w:rPr>
          <w:rFonts w:ascii="ˎ̥" w:hAnsi="ˎ̥" w:cs="Arial"/>
          <w:b/>
          <w:color w:val="000000"/>
          <w:kern w:val="0"/>
          <w:sz w:val="28"/>
          <w:szCs w:val="28"/>
        </w:rPr>
      </w:pPr>
      <w:r w:rsidRPr="00753E86">
        <w:rPr>
          <w:rFonts w:ascii="ˎ̥" w:hAnsi="ˎ̥" w:cs="Arial"/>
          <w:b/>
          <w:color w:val="000000"/>
          <w:kern w:val="0"/>
          <w:sz w:val="28"/>
          <w:szCs w:val="28"/>
        </w:rPr>
        <w:t>医疗机构制剂注册管理办法（试行）</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w:t>
      </w:r>
      <w:r w:rsidRPr="00753E86">
        <w:rPr>
          <w:rFonts w:ascii="ˎ̥" w:hAnsi="ˎ̥" w:cs="Arial"/>
          <w:color w:val="000000"/>
          <w:kern w:val="0"/>
          <w:sz w:val="24"/>
        </w:rPr>
        <w:t xml:space="preserve"> </w:t>
      </w:r>
      <w:r w:rsidRPr="00753E86">
        <w:rPr>
          <w:rFonts w:ascii="ˎ̥" w:hAnsi="ˎ̥" w:cs="Arial"/>
          <w:color w:val="000000"/>
          <w:kern w:val="0"/>
          <w:sz w:val="24"/>
        </w:rPr>
        <w:t>第一</w:t>
      </w:r>
      <w:bookmarkStart w:id="0" w:name="_GoBack"/>
      <w:bookmarkEnd w:id="0"/>
      <w:r w:rsidRPr="00753E86">
        <w:rPr>
          <w:rFonts w:ascii="ˎ̥" w:hAnsi="ˎ̥" w:cs="Arial"/>
          <w:color w:val="000000"/>
          <w:kern w:val="0"/>
          <w:sz w:val="24"/>
        </w:rPr>
        <w:t>章　总　则</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第一条　为加强医疗机构制剂的管理，规范医疗机构制剂的申报与审批，根据《中华人民共和国药品管理法》（以下简称《药品管理法》）及《中华人民共和国药品管理法实施条例》（以下简称《药品管理法实施条例》），制定本办法。</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第二条　在中华人民共和国境内申请医疗机构制剂的配制、调剂使用，以及进行相关的审批、检验和监督管理，适用本办法。</w:t>
      </w:r>
      <w:r w:rsidRPr="00753E86">
        <w:rPr>
          <w:rFonts w:ascii="ˎ̥" w:hAnsi="ˎ̥" w:cs="Arial"/>
          <w:color w:val="000000"/>
          <w:kern w:val="0"/>
          <w:sz w:val="24"/>
        </w:rPr>
        <w:br/>
      </w:r>
      <w:r w:rsidRPr="00753E86">
        <w:rPr>
          <w:rFonts w:ascii="ˎ̥" w:hAnsi="ˎ̥" w:cs="Arial"/>
          <w:color w:val="000000"/>
          <w:kern w:val="0"/>
          <w:sz w:val="24"/>
        </w:rPr>
        <w:t xml:space="preserve">　　第三条　医疗机构制剂，是指医疗机构根据本单位临床需要经批准而配制、自用的固定处方制剂。</w:t>
      </w:r>
      <w:r w:rsidRPr="00753E86">
        <w:rPr>
          <w:rFonts w:ascii="ˎ̥" w:hAnsi="ˎ̥" w:cs="Arial"/>
          <w:color w:val="000000"/>
          <w:kern w:val="0"/>
          <w:sz w:val="24"/>
        </w:rPr>
        <w:br/>
      </w:r>
      <w:r w:rsidRPr="00753E86">
        <w:rPr>
          <w:rFonts w:ascii="ˎ̥" w:hAnsi="ˎ̥" w:cs="Arial"/>
          <w:color w:val="000000"/>
          <w:kern w:val="0"/>
          <w:sz w:val="24"/>
        </w:rPr>
        <w:t xml:space="preserve">　　医疗机构配制的制剂，应当是市场上没有供应的品种。</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第四条　国家食品药品监督管理局负责全国医疗机构制剂的监督管理工作。</w:t>
      </w:r>
      <w:r w:rsidRPr="00753E86">
        <w:rPr>
          <w:rFonts w:ascii="ˎ̥" w:hAnsi="ˎ̥" w:cs="Arial"/>
          <w:color w:val="000000"/>
          <w:kern w:val="0"/>
          <w:sz w:val="24"/>
        </w:rPr>
        <w:br/>
      </w:r>
      <w:r w:rsidRPr="00753E86">
        <w:rPr>
          <w:rFonts w:ascii="ˎ̥" w:hAnsi="ˎ̥" w:cs="Arial"/>
          <w:color w:val="000000"/>
          <w:kern w:val="0"/>
          <w:sz w:val="24"/>
        </w:rPr>
        <w:t xml:space="preserve">　　省、自治区、直辖市（食品）药品监督管理部门负责本辖区医疗机构制剂的审批和监督管理工作。</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第五条　医疗机构制剂的申请人，应当是持有《医疗机构执业许可证》并取得《医疗机构制剂许可证》的医疗机构。</w:t>
      </w:r>
      <w:r w:rsidRPr="00753E86">
        <w:rPr>
          <w:rFonts w:ascii="ˎ̥" w:hAnsi="ˎ̥" w:cs="Arial"/>
          <w:color w:val="000000"/>
          <w:kern w:val="0"/>
          <w:sz w:val="24"/>
        </w:rPr>
        <w:br/>
      </w:r>
      <w:r w:rsidRPr="00753E86">
        <w:rPr>
          <w:rFonts w:ascii="ˎ̥" w:hAnsi="ˎ̥" w:cs="Arial"/>
          <w:color w:val="000000"/>
          <w:kern w:val="0"/>
          <w:sz w:val="24"/>
        </w:rPr>
        <w:t xml:space="preserve">　　未取得《医疗机构制剂许可证》或者《医疗机构制剂许可证》无相应制剂剂型的</w:t>
      </w:r>
      <w:r w:rsidRPr="00753E86">
        <w:rPr>
          <w:rFonts w:ascii="ˎ̥" w:hAnsi="ˎ̥" w:cs="Arial"/>
          <w:color w:val="000000"/>
          <w:kern w:val="0"/>
          <w:sz w:val="24"/>
        </w:rPr>
        <w:t>“</w:t>
      </w:r>
      <w:r w:rsidRPr="00753E86">
        <w:rPr>
          <w:rFonts w:ascii="ˎ̥" w:hAnsi="ˎ̥" w:cs="Arial"/>
          <w:color w:val="000000"/>
          <w:kern w:val="0"/>
          <w:sz w:val="24"/>
        </w:rPr>
        <w:t>医院</w:t>
      </w:r>
      <w:r w:rsidRPr="00753E86">
        <w:rPr>
          <w:rFonts w:ascii="ˎ̥" w:hAnsi="ˎ̥" w:cs="Arial"/>
          <w:color w:val="000000"/>
          <w:kern w:val="0"/>
          <w:sz w:val="24"/>
        </w:rPr>
        <w:t>”</w:t>
      </w:r>
      <w:r w:rsidRPr="00753E86">
        <w:rPr>
          <w:rFonts w:ascii="ˎ̥" w:hAnsi="ˎ̥" w:cs="Arial"/>
          <w:color w:val="000000"/>
          <w:kern w:val="0"/>
          <w:sz w:val="24"/>
        </w:rPr>
        <w:t>类别的医疗机构可以申请医疗机构中药制剂，但是必须同时提出委托配制制剂的申请。接受委托配制的单位应当是取得《医疗机构制剂许可证》的医疗机构或者取得《药品生产质量管理规范》认证证书的药品生产企业。委托配制的制剂剂型应当与受托方持有的《医疗机构制剂许可证》或者《药品生产质量管理规范》认证证书所载明的范围一致。</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第六条　医疗机构制剂只能在</w:t>
      </w:r>
      <w:proofErr w:type="gramStart"/>
      <w:r w:rsidRPr="00753E86">
        <w:rPr>
          <w:rFonts w:ascii="ˎ̥" w:hAnsi="ˎ̥" w:cs="Arial"/>
          <w:color w:val="000000"/>
          <w:kern w:val="0"/>
          <w:sz w:val="24"/>
        </w:rPr>
        <w:t>本医疗</w:t>
      </w:r>
      <w:proofErr w:type="gramEnd"/>
      <w:r w:rsidRPr="00753E86">
        <w:rPr>
          <w:rFonts w:ascii="ˎ̥" w:hAnsi="ˎ̥" w:cs="Arial"/>
          <w:color w:val="000000"/>
          <w:kern w:val="0"/>
          <w:sz w:val="24"/>
        </w:rPr>
        <w:t>机构内凭执业医师或者执业助理医师的处方使用，并与《医疗机构执业许可证》所载明的诊疗范围一致。</w:t>
      </w:r>
      <w:r w:rsidRPr="00753E86">
        <w:rPr>
          <w:rFonts w:ascii="ˎ̥" w:hAnsi="ˎ̥" w:cs="Arial"/>
          <w:color w:val="000000"/>
          <w:kern w:val="0"/>
          <w:sz w:val="24"/>
        </w:rPr>
        <w:br/>
      </w:r>
      <w:r w:rsidRPr="00753E86">
        <w:rPr>
          <w:rFonts w:ascii="ˎ̥" w:hAnsi="ˎ̥" w:cs="Arial"/>
          <w:color w:val="000000"/>
          <w:kern w:val="0"/>
          <w:sz w:val="24"/>
        </w:rPr>
        <w:br/>
      </w:r>
      <w:r w:rsidRPr="00753E86">
        <w:rPr>
          <w:rFonts w:ascii="ˎ̥" w:hAnsi="ˎ̥" w:cs="Arial"/>
          <w:color w:val="000000"/>
          <w:kern w:val="0"/>
          <w:sz w:val="24"/>
        </w:rPr>
        <w:br/>
      </w:r>
      <w:r w:rsidRPr="00753E86">
        <w:rPr>
          <w:rFonts w:ascii="ˎ̥" w:hAnsi="ˎ̥" w:cs="Arial"/>
          <w:color w:val="000000"/>
          <w:kern w:val="0"/>
          <w:sz w:val="24"/>
        </w:rPr>
        <w:t xml:space="preserve">　　　　　　　　　　　　　　　</w:t>
      </w:r>
      <w:r w:rsidRPr="00753E86">
        <w:rPr>
          <w:rFonts w:ascii="ˎ̥" w:hAnsi="ˎ̥" w:cs="Arial"/>
          <w:color w:val="000000"/>
          <w:kern w:val="0"/>
          <w:sz w:val="24"/>
        </w:rPr>
        <w:t xml:space="preserve"> </w:t>
      </w:r>
      <w:r w:rsidRPr="00753E86">
        <w:rPr>
          <w:rFonts w:ascii="ˎ̥" w:hAnsi="ˎ̥" w:cs="Arial"/>
          <w:color w:val="000000"/>
          <w:kern w:val="0"/>
          <w:sz w:val="24"/>
        </w:rPr>
        <w:t>第二章　申报与审批</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lastRenderedPageBreak/>
        <w:t xml:space="preserve">　　第七条　申请医疗机构制剂，应当进行相应的临床前研究，包括处方筛选、配制工艺、质量指标、药理、毒理学研究等。</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第八条　申请医疗机构制剂注册所报送的资料应当真实、完整、规范。</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第九条　申请制剂所用的化学原料药及实施批准文</w:t>
      </w:r>
      <w:proofErr w:type="gramStart"/>
      <w:r w:rsidRPr="00753E86">
        <w:rPr>
          <w:rFonts w:ascii="ˎ̥" w:hAnsi="ˎ̥" w:cs="Arial"/>
          <w:color w:val="000000"/>
          <w:kern w:val="0"/>
          <w:sz w:val="24"/>
        </w:rPr>
        <w:t>号管理</w:t>
      </w:r>
      <w:proofErr w:type="gramEnd"/>
      <w:r w:rsidRPr="00753E86">
        <w:rPr>
          <w:rFonts w:ascii="ˎ̥" w:hAnsi="ˎ̥" w:cs="Arial"/>
          <w:color w:val="000000"/>
          <w:kern w:val="0"/>
          <w:sz w:val="24"/>
        </w:rPr>
        <w:t>的中药材、中药饮片必须具有药品批准文号，并符合法定的药品标准。</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第十条　申请人应当对其申请注册的制剂或者使用的处方、工艺、用途等，提供申请人或者他人在中国的专利及其权属状态说明；他人在中国存在专利的，申请人应当提交对他人的专利不构成侵权的声明。</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第十一条　医疗机构制剂的名称，应当按照国家食品药品监督管理局颁布的药品命名原则命名，不得使用商品名称。</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第十二条　医疗机构配制制剂使用的辅料和直接接触制剂的包装材料、容器等，应当符合国家食品药品监督管理局有关辅料、直接接触药品的包装材料和容器的管理规定。</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第十三条　医疗机构制剂的说明书和包装标签由省、自治区、直辖市（食品）药品监督管理部门根据申请人申报的资料，在批准制剂申请时一并予以核准。</w:t>
      </w:r>
      <w:r w:rsidRPr="00753E86">
        <w:rPr>
          <w:rFonts w:ascii="ˎ̥" w:hAnsi="ˎ̥" w:cs="Arial"/>
          <w:color w:val="000000"/>
          <w:kern w:val="0"/>
          <w:sz w:val="24"/>
        </w:rPr>
        <w:br/>
      </w:r>
      <w:r w:rsidRPr="00753E86">
        <w:rPr>
          <w:rFonts w:ascii="ˎ̥" w:hAnsi="ˎ̥" w:cs="Arial"/>
          <w:color w:val="000000"/>
          <w:kern w:val="0"/>
          <w:sz w:val="24"/>
        </w:rPr>
        <w:t xml:space="preserve">　　医疗机构制剂的说明书和包装标签应当按照国家食品药品监督管理局有关药品说明书和包装标签的管理规定印制，其文字、图案不得超出核准的内容，并需标注</w:t>
      </w:r>
      <w:r w:rsidRPr="00753E86">
        <w:rPr>
          <w:rFonts w:ascii="ˎ̥" w:hAnsi="ˎ̥" w:cs="Arial"/>
          <w:color w:val="000000"/>
          <w:kern w:val="0"/>
          <w:sz w:val="24"/>
        </w:rPr>
        <w:t>“</w:t>
      </w:r>
      <w:r w:rsidRPr="00753E86">
        <w:rPr>
          <w:rFonts w:ascii="ˎ̥" w:hAnsi="ˎ̥" w:cs="Arial"/>
          <w:color w:val="000000"/>
          <w:kern w:val="0"/>
          <w:sz w:val="24"/>
        </w:rPr>
        <w:t>本制剂仅限本医疗机构使用</w:t>
      </w:r>
      <w:r w:rsidRPr="00753E86">
        <w:rPr>
          <w:rFonts w:ascii="ˎ̥" w:hAnsi="ˎ̥" w:cs="Arial"/>
          <w:color w:val="000000"/>
          <w:kern w:val="0"/>
          <w:sz w:val="24"/>
        </w:rPr>
        <w:t>”</w:t>
      </w:r>
      <w:r w:rsidRPr="00753E86">
        <w:rPr>
          <w:rFonts w:ascii="ˎ̥" w:hAnsi="ˎ̥" w:cs="Arial"/>
          <w:color w:val="000000"/>
          <w:kern w:val="0"/>
          <w:sz w:val="24"/>
        </w:rPr>
        <w:t>字样。</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第十四条　有下列情形之一的，不得作为医疗机构制剂申报：</w:t>
      </w:r>
      <w:r w:rsidRPr="00753E86">
        <w:rPr>
          <w:rFonts w:ascii="ˎ̥" w:hAnsi="ˎ̥" w:cs="Arial"/>
          <w:color w:val="000000"/>
          <w:kern w:val="0"/>
          <w:sz w:val="24"/>
        </w:rPr>
        <w:br/>
      </w:r>
      <w:r w:rsidRPr="00753E86">
        <w:rPr>
          <w:rFonts w:ascii="ˎ̥" w:hAnsi="ˎ̥" w:cs="Arial"/>
          <w:color w:val="000000"/>
          <w:kern w:val="0"/>
          <w:sz w:val="24"/>
        </w:rPr>
        <w:t xml:space="preserve">　　（一）市场上已有供应的品种；</w:t>
      </w:r>
      <w:r w:rsidRPr="00753E86">
        <w:rPr>
          <w:rFonts w:ascii="ˎ̥" w:hAnsi="ˎ̥" w:cs="Arial"/>
          <w:color w:val="000000"/>
          <w:kern w:val="0"/>
          <w:sz w:val="24"/>
        </w:rPr>
        <w:br/>
      </w:r>
      <w:r w:rsidRPr="00753E86">
        <w:rPr>
          <w:rFonts w:ascii="ˎ̥" w:hAnsi="ˎ̥" w:cs="Arial"/>
          <w:color w:val="000000"/>
          <w:kern w:val="0"/>
          <w:sz w:val="24"/>
        </w:rPr>
        <w:t xml:space="preserve">　　（二）含有未经国家食品药品监督管理局批准的活性成份的品种；</w:t>
      </w:r>
      <w:r w:rsidRPr="00753E86">
        <w:rPr>
          <w:rFonts w:ascii="ˎ̥" w:hAnsi="ˎ̥" w:cs="Arial"/>
          <w:color w:val="000000"/>
          <w:kern w:val="0"/>
          <w:sz w:val="24"/>
        </w:rPr>
        <w:br/>
      </w:r>
      <w:r w:rsidRPr="00753E86">
        <w:rPr>
          <w:rFonts w:ascii="ˎ̥" w:hAnsi="ˎ̥" w:cs="Arial"/>
          <w:color w:val="000000"/>
          <w:kern w:val="0"/>
          <w:sz w:val="24"/>
        </w:rPr>
        <w:t xml:space="preserve">　　（三）除变态反应原外的生物制品；</w:t>
      </w:r>
      <w:r w:rsidRPr="00753E86">
        <w:rPr>
          <w:rFonts w:ascii="ˎ̥" w:hAnsi="ˎ̥" w:cs="Arial"/>
          <w:color w:val="000000"/>
          <w:kern w:val="0"/>
          <w:sz w:val="24"/>
        </w:rPr>
        <w:br/>
      </w:r>
      <w:r w:rsidRPr="00753E86">
        <w:rPr>
          <w:rFonts w:ascii="ˎ̥" w:hAnsi="ˎ̥" w:cs="Arial"/>
          <w:color w:val="000000"/>
          <w:kern w:val="0"/>
          <w:sz w:val="24"/>
        </w:rPr>
        <w:t xml:space="preserve">　　（四）中药注射剂；</w:t>
      </w:r>
      <w:r w:rsidRPr="00753E86">
        <w:rPr>
          <w:rFonts w:ascii="ˎ̥" w:hAnsi="ˎ̥" w:cs="Arial"/>
          <w:color w:val="000000"/>
          <w:kern w:val="0"/>
          <w:sz w:val="24"/>
        </w:rPr>
        <w:br/>
      </w:r>
      <w:r w:rsidRPr="00753E86">
        <w:rPr>
          <w:rFonts w:ascii="ˎ̥" w:hAnsi="ˎ̥" w:cs="Arial"/>
          <w:color w:val="000000"/>
          <w:kern w:val="0"/>
          <w:sz w:val="24"/>
        </w:rPr>
        <w:t xml:space="preserve">　　（五）中药、化学药组成的复方制剂；</w:t>
      </w:r>
      <w:r w:rsidRPr="00753E86">
        <w:rPr>
          <w:rFonts w:ascii="ˎ̥" w:hAnsi="ˎ̥" w:cs="Arial"/>
          <w:color w:val="000000"/>
          <w:kern w:val="0"/>
          <w:sz w:val="24"/>
        </w:rPr>
        <w:br/>
      </w:r>
      <w:r w:rsidRPr="00753E86">
        <w:rPr>
          <w:rFonts w:ascii="ˎ̥" w:hAnsi="ˎ̥" w:cs="Arial"/>
          <w:color w:val="000000"/>
          <w:kern w:val="0"/>
          <w:sz w:val="24"/>
        </w:rPr>
        <w:lastRenderedPageBreak/>
        <w:t xml:space="preserve">　　（六）麻醉药品、精神药品、医疗用毒性药品、放射性药品</w:t>
      </w:r>
      <w:r w:rsidRPr="00753E86">
        <w:rPr>
          <w:rFonts w:ascii="ˎ̥" w:hAnsi="ˎ̥" w:cs="Arial"/>
          <w:color w:val="000000"/>
          <w:kern w:val="0"/>
          <w:sz w:val="24"/>
        </w:rPr>
        <w:t>;</w:t>
      </w:r>
      <w:r w:rsidRPr="00753E86">
        <w:rPr>
          <w:rFonts w:ascii="ˎ̥" w:hAnsi="ˎ̥" w:cs="Arial"/>
          <w:color w:val="000000"/>
          <w:kern w:val="0"/>
          <w:sz w:val="24"/>
        </w:rPr>
        <w:br/>
      </w:r>
      <w:r w:rsidRPr="00753E86">
        <w:rPr>
          <w:rFonts w:ascii="ˎ̥" w:hAnsi="ˎ̥" w:cs="Arial"/>
          <w:color w:val="000000"/>
          <w:kern w:val="0"/>
          <w:sz w:val="24"/>
        </w:rPr>
        <w:t xml:space="preserve">　　（七）其他不符合国家有关规定的制剂。</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第十五条　申请配制医疗机构制剂，申请人应当填写《医疗机构制剂注册申请表》，向所在地省、自治区、直辖市（食品）药品监督管理部门或者其委托的设区的市级（食品）药品监督管理机构提出申请，报送有关资料和制剂实样。</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第十六条　收到申请的省、自治区、直辖市（食品）药品监督管理部门或者其委托的设区的市级（食品）药品监督管理机构对申报资料进行形式审查，符合要求的予以受理；不符合要求的，应当自收到申请材料之日起</w:t>
      </w:r>
      <w:r w:rsidRPr="00753E86">
        <w:rPr>
          <w:rFonts w:ascii="ˎ̥" w:hAnsi="ˎ̥" w:cs="Arial"/>
          <w:color w:val="000000"/>
          <w:kern w:val="0"/>
          <w:sz w:val="24"/>
        </w:rPr>
        <w:t>5</w:t>
      </w:r>
      <w:r w:rsidRPr="00753E86">
        <w:rPr>
          <w:rFonts w:ascii="ˎ̥" w:hAnsi="ˎ̥" w:cs="Arial"/>
          <w:color w:val="000000"/>
          <w:kern w:val="0"/>
          <w:sz w:val="24"/>
        </w:rPr>
        <w:t>日内书面通知申请人并说明理由，逾期未通知的自收到材料之日起即为受理。</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第十七条　省、自治区、直辖市（食品）药品监督管理部门或者其委托的设区的市级（食品）药品监督管理机构应当在申请受理后</w:t>
      </w:r>
      <w:r w:rsidRPr="00753E86">
        <w:rPr>
          <w:rFonts w:ascii="ˎ̥" w:hAnsi="ˎ̥" w:cs="Arial"/>
          <w:color w:val="000000"/>
          <w:kern w:val="0"/>
          <w:sz w:val="24"/>
        </w:rPr>
        <w:t>10</w:t>
      </w:r>
      <w:r w:rsidRPr="00753E86">
        <w:rPr>
          <w:rFonts w:ascii="ˎ̥" w:hAnsi="ˎ̥" w:cs="Arial"/>
          <w:color w:val="000000"/>
          <w:kern w:val="0"/>
          <w:sz w:val="24"/>
        </w:rPr>
        <w:t>日内组织现场考察，抽取连续</w:t>
      </w:r>
      <w:r w:rsidRPr="00753E86">
        <w:rPr>
          <w:rFonts w:ascii="ˎ̥" w:hAnsi="ˎ̥" w:cs="Arial"/>
          <w:color w:val="000000"/>
          <w:kern w:val="0"/>
          <w:sz w:val="24"/>
        </w:rPr>
        <w:t>3</w:t>
      </w:r>
      <w:r w:rsidRPr="00753E86">
        <w:rPr>
          <w:rFonts w:ascii="ˎ̥" w:hAnsi="ˎ̥" w:cs="Arial"/>
          <w:color w:val="000000"/>
          <w:kern w:val="0"/>
          <w:sz w:val="24"/>
        </w:rPr>
        <w:t>批检验用样品，通知指定的药品检验所进行样品检验和质量标准技术复核。受委托的设区的市级（食品）药品监督管理机构应当在完成上述工作后将审查意见、考察报告及申报资料报送省、自治区、直辖市（食品）药品监督管理部门，并通知申请人。</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第十八条　接到检验通知的药品检验所应当在</w:t>
      </w:r>
      <w:r w:rsidRPr="00753E86">
        <w:rPr>
          <w:rFonts w:ascii="ˎ̥" w:hAnsi="ˎ̥" w:cs="Arial"/>
          <w:color w:val="000000"/>
          <w:kern w:val="0"/>
          <w:sz w:val="24"/>
        </w:rPr>
        <w:t>40</w:t>
      </w:r>
      <w:r w:rsidRPr="00753E86">
        <w:rPr>
          <w:rFonts w:ascii="ˎ̥" w:hAnsi="ˎ̥" w:cs="Arial"/>
          <w:color w:val="000000"/>
          <w:kern w:val="0"/>
          <w:sz w:val="24"/>
        </w:rPr>
        <w:t>日内完成样品检验和质量标准技术复核，出具检验报告书及标准复核意见，报送省、自治区、直辖市（食品）药品监督管理部门并抄送通知其检验的（食品）药品监督管理机构和申请人。</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第十九条　省、自治区、直辖市（食品）药品监督管理部门应当在收到全部资料后</w:t>
      </w:r>
      <w:r w:rsidRPr="00753E86">
        <w:rPr>
          <w:rFonts w:ascii="ˎ̥" w:hAnsi="ˎ̥" w:cs="Arial"/>
          <w:color w:val="000000"/>
          <w:kern w:val="0"/>
          <w:sz w:val="24"/>
        </w:rPr>
        <w:t>40</w:t>
      </w:r>
      <w:r w:rsidRPr="00753E86">
        <w:rPr>
          <w:rFonts w:ascii="ˎ̥" w:hAnsi="ˎ̥" w:cs="Arial"/>
          <w:color w:val="000000"/>
          <w:kern w:val="0"/>
          <w:sz w:val="24"/>
        </w:rPr>
        <w:t>日内组织完成技术审评，符合规定的，发给《医疗机构制剂临床研究批件》。</w:t>
      </w:r>
      <w:r w:rsidRPr="00753E86">
        <w:rPr>
          <w:rFonts w:ascii="ˎ̥" w:hAnsi="ˎ̥" w:cs="Arial"/>
          <w:color w:val="000000"/>
          <w:kern w:val="0"/>
          <w:sz w:val="24"/>
        </w:rPr>
        <w:br/>
      </w:r>
      <w:r w:rsidRPr="00753E86">
        <w:rPr>
          <w:rFonts w:ascii="ˎ̥" w:hAnsi="ˎ̥" w:cs="Arial"/>
          <w:color w:val="000000"/>
          <w:kern w:val="0"/>
          <w:sz w:val="24"/>
        </w:rPr>
        <w:t xml:space="preserve">　　申请配制的化学制剂已有同品种获得制剂批准文号的，可以免于进行临床研究。</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第二十条　临床研究用的制剂，应当按照《医疗机构制剂配制质量管理规范》或者《药品生产质量管理规范》的要求配制，配制的制剂应当符合经省、自治区、直辖市（食品）药品监督管理部门审定的质量标准。</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lastRenderedPageBreak/>
        <w:t xml:space="preserve">　　第二十一条　医疗机构制剂的临床研究，应当在获得《医疗机构制剂临床研究批件》后，取得受试者知情同意书以及伦理委员会的同意，按照《药物临床试验质量管理规范》的要求实施。</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第二十二条　医疗机构制剂的临床研究，应当在</w:t>
      </w:r>
      <w:proofErr w:type="gramStart"/>
      <w:r w:rsidRPr="00753E86">
        <w:rPr>
          <w:rFonts w:ascii="ˎ̥" w:hAnsi="ˎ̥" w:cs="Arial"/>
          <w:color w:val="000000"/>
          <w:kern w:val="0"/>
          <w:sz w:val="24"/>
        </w:rPr>
        <w:t>本医疗</w:t>
      </w:r>
      <w:proofErr w:type="gramEnd"/>
      <w:r w:rsidRPr="00753E86">
        <w:rPr>
          <w:rFonts w:ascii="ˎ̥" w:hAnsi="ˎ̥" w:cs="Arial"/>
          <w:color w:val="000000"/>
          <w:kern w:val="0"/>
          <w:sz w:val="24"/>
        </w:rPr>
        <w:t>机构按照临床研究方案进行，受试例数不得少于</w:t>
      </w:r>
      <w:r w:rsidRPr="00753E86">
        <w:rPr>
          <w:rFonts w:ascii="ˎ̥" w:hAnsi="ˎ̥" w:cs="Arial"/>
          <w:color w:val="000000"/>
          <w:kern w:val="0"/>
          <w:sz w:val="24"/>
        </w:rPr>
        <w:t>60</w:t>
      </w:r>
      <w:r w:rsidRPr="00753E86">
        <w:rPr>
          <w:rFonts w:ascii="ˎ̥" w:hAnsi="ˎ̥" w:cs="Arial"/>
          <w:color w:val="000000"/>
          <w:kern w:val="0"/>
          <w:sz w:val="24"/>
        </w:rPr>
        <w:t>例。</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第二十三条　完成临床研究后，申请人向所在地省、自治区、直辖市（食品）药品监督管理部门或者其委托的设区的市级（食品）药品监督管理机构报送临床研究总结资料。</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第二十四条　省、自治区、直辖市（食品）药品监督管理部门收到全部申报资料后</w:t>
      </w:r>
      <w:r w:rsidRPr="00753E86">
        <w:rPr>
          <w:rFonts w:ascii="ˎ̥" w:hAnsi="ˎ̥" w:cs="Arial"/>
          <w:color w:val="000000"/>
          <w:kern w:val="0"/>
          <w:sz w:val="24"/>
        </w:rPr>
        <w:t>40</w:t>
      </w:r>
      <w:r w:rsidRPr="00753E86">
        <w:rPr>
          <w:rFonts w:ascii="ˎ̥" w:hAnsi="ˎ̥" w:cs="Arial"/>
          <w:color w:val="000000"/>
          <w:kern w:val="0"/>
          <w:sz w:val="24"/>
        </w:rPr>
        <w:t>日内组织完成技术审评，做出是否准予许可的决定。符合规定的，应当自做出准予许可决定之日起</w:t>
      </w:r>
      <w:r w:rsidRPr="00753E86">
        <w:rPr>
          <w:rFonts w:ascii="ˎ̥" w:hAnsi="ˎ̥" w:cs="Arial"/>
          <w:color w:val="000000"/>
          <w:kern w:val="0"/>
          <w:sz w:val="24"/>
        </w:rPr>
        <w:t>10</w:t>
      </w:r>
      <w:r w:rsidRPr="00753E86">
        <w:rPr>
          <w:rFonts w:ascii="ˎ̥" w:hAnsi="ˎ̥" w:cs="Arial"/>
          <w:color w:val="000000"/>
          <w:kern w:val="0"/>
          <w:sz w:val="24"/>
        </w:rPr>
        <w:t>日内向申请人核发《医疗机构制剂注册批件》及制剂批准文号，同时报国家食品药品监督管理局备案；不符合规定的，应当书面通知申请人并说明理由，同时告知申请人享有依法申请行政复议或者提起行政诉讼的权利。</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第二十五条　医疗机构制剂批准文号的格式为：</w:t>
      </w:r>
      <w:r w:rsidRPr="00753E86">
        <w:rPr>
          <w:rFonts w:ascii="ˎ̥" w:hAnsi="ˎ̥" w:cs="Arial"/>
          <w:color w:val="000000"/>
          <w:kern w:val="0"/>
          <w:sz w:val="24"/>
        </w:rPr>
        <w:br/>
      </w:r>
      <w:r w:rsidRPr="00753E86">
        <w:rPr>
          <w:rFonts w:ascii="ˎ̥" w:hAnsi="ˎ̥" w:cs="Arial"/>
          <w:color w:val="000000"/>
          <w:kern w:val="0"/>
          <w:sz w:val="24"/>
        </w:rPr>
        <w:t xml:space="preserve">　　</w:t>
      </w:r>
      <w:r w:rsidRPr="00753E86">
        <w:rPr>
          <w:rFonts w:ascii="ˎ̥" w:hAnsi="ˎ̥" w:cs="Arial"/>
          <w:color w:val="000000"/>
          <w:kern w:val="0"/>
          <w:sz w:val="24"/>
        </w:rPr>
        <w:t>X</w:t>
      </w:r>
      <w:r w:rsidRPr="00753E86">
        <w:rPr>
          <w:rFonts w:ascii="ˎ̥" w:hAnsi="ˎ̥" w:cs="Arial"/>
          <w:color w:val="000000"/>
          <w:kern w:val="0"/>
          <w:sz w:val="24"/>
        </w:rPr>
        <w:t>药制字</w:t>
      </w:r>
      <w:r w:rsidRPr="00753E86">
        <w:rPr>
          <w:rFonts w:ascii="ˎ̥" w:hAnsi="ˎ̥" w:cs="Arial"/>
          <w:color w:val="000000"/>
          <w:kern w:val="0"/>
          <w:sz w:val="24"/>
        </w:rPr>
        <w:t>H</w:t>
      </w:r>
      <w:r w:rsidRPr="00753E86">
        <w:rPr>
          <w:rFonts w:ascii="ˎ̥" w:hAnsi="ˎ̥" w:cs="Arial"/>
          <w:color w:val="000000"/>
          <w:kern w:val="0"/>
          <w:sz w:val="24"/>
        </w:rPr>
        <w:t>（</w:t>
      </w:r>
      <w:r w:rsidRPr="00753E86">
        <w:rPr>
          <w:rFonts w:ascii="ˎ̥" w:hAnsi="ˎ̥" w:cs="Arial"/>
          <w:color w:val="000000"/>
          <w:kern w:val="0"/>
          <w:sz w:val="24"/>
        </w:rPr>
        <w:t>Z</w:t>
      </w:r>
      <w:r w:rsidRPr="00753E86">
        <w:rPr>
          <w:rFonts w:ascii="ˎ̥" w:hAnsi="ˎ̥" w:cs="Arial"/>
          <w:color w:val="000000"/>
          <w:kern w:val="0"/>
          <w:sz w:val="24"/>
        </w:rPr>
        <w:t>）＋</w:t>
      </w:r>
      <w:r w:rsidRPr="00753E86">
        <w:rPr>
          <w:rFonts w:ascii="ˎ̥" w:hAnsi="ˎ̥" w:cs="Arial"/>
          <w:color w:val="000000"/>
          <w:kern w:val="0"/>
          <w:sz w:val="24"/>
        </w:rPr>
        <w:t>4</w:t>
      </w:r>
      <w:r w:rsidRPr="00753E86">
        <w:rPr>
          <w:rFonts w:ascii="ˎ̥" w:hAnsi="ˎ̥" w:cs="Arial"/>
          <w:color w:val="000000"/>
          <w:kern w:val="0"/>
          <w:sz w:val="24"/>
        </w:rPr>
        <w:t>位年号＋</w:t>
      </w:r>
      <w:r w:rsidRPr="00753E86">
        <w:rPr>
          <w:rFonts w:ascii="ˎ̥" w:hAnsi="ˎ̥" w:cs="Arial"/>
          <w:color w:val="000000"/>
          <w:kern w:val="0"/>
          <w:sz w:val="24"/>
        </w:rPr>
        <w:t>4</w:t>
      </w:r>
      <w:r w:rsidRPr="00753E86">
        <w:rPr>
          <w:rFonts w:ascii="ˎ̥" w:hAnsi="ˎ̥" w:cs="Arial"/>
          <w:color w:val="000000"/>
          <w:kern w:val="0"/>
          <w:sz w:val="24"/>
        </w:rPr>
        <w:t>位流水号。</w:t>
      </w:r>
      <w:r w:rsidRPr="00753E86">
        <w:rPr>
          <w:rFonts w:ascii="ˎ̥" w:hAnsi="ˎ̥" w:cs="Arial"/>
          <w:color w:val="000000"/>
          <w:kern w:val="0"/>
          <w:sz w:val="24"/>
        </w:rPr>
        <w:br/>
      </w:r>
      <w:r w:rsidRPr="00753E86">
        <w:rPr>
          <w:rFonts w:ascii="ˎ̥" w:hAnsi="ˎ̥" w:cs="Arial"/>
          <w:color w:val="000000"/>
          <w:kern w:val="0"/>
          <w:sz w:val="24"/>
        </w:rPr>
        <w:t xml:space="preserve">　　</w:t>
      </w:r>
      <w:r w:rsidRPr="00753E86">
        <w:rPr>
          <w:rFonts w:ascii="ˎ̥" w:hAnsi="ˎ̥" w:cs="Arial"/>
          <w:color w:val="000000"/>
          <w:kern w:val="0"/>
          <w:sz w:val="24"/>
        </w:rPr>
        <w:t>X-</w:t>
      </w:r>
      <w:r w:rsidRPr="00753E86">
        <w:rPr>
          <w:rFonts w:ascii="ˎ̥" w:hAnsi="ˎ̥" w:cs="Arial"/>
          <w:color w:val="000000"/>
          <w:kern w:val="0"/>
          <w:sz w:val="24"/>
        </w:rPr>
        <w:t>省、自治区、直辖市简称，</w:t>
      </w:r>
      <w:r w:rsidRPr="00753E86">
        <w:rPr>
          <w:rFonts w:ascii="ˎ̥" w:hAnsi="ˎ̥" w:cs="Arial"/>
          <w:color w:val="000000"/>
          <w:kern w:val="0"/>
          <w:sz w:val="24"/>
        </w:rPr>
        <w:t>H-</w:t>
      </w:r>
      <w:r w:rsidRPr="00753E86">
        <w:rPr>
          <w:rFonts w:ascii="ˎ̥" w:hAnsi="ˎ̥" w:cs="Arial"/>
          <w:color w:val="000000"/>
          <w:kern w:val="0"/>
          <w:sz w:val="24"/>
        </w:rPr>
        <w:t>化学制剂，</w:t>
      </w:r>
      <w:r w:rsidRPr="00753E86">
        <w:rPr>
          <w:rFonts w:ascii="ˎ̥" w:hAnsi="ˎ̥" w:cs="Arial"/>
          <w:color w:val="000000"/>
          <w:kern w:val="0"/>
          <w:sz w:val="24"/>
        </w:rPr>
        <w:t>Z-</w:t>
      </w:r>
      <w:r w:rsidRPr="00753E86">
        <w:rPr>
          <w:rFonts w:ascii="ˎ̥" w:hAnsi="ˎ̥" w:cs="Arial"/>
          <w:color w:val="000000"/>
          <w:kern w:val="0"/>
          <w:sz w:val="24"/>
        </w:rPr>
        <w:t>中药制剂。</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br/>
      </w:r>
      <w:r w:rsidRPr="00753E86">
        <w:rPr>
          <w:rFonts w:ascii="ˎ̥" w:hAnsi="ˎ̥" w:cs="Arial"/>
          <w:color w:val="000000"/>
          <w:kern w:val="0"/>
          <w:sz w:val="24"/>
        </w:rPr>
        <w:t xml:space="preserve">　　　　　　　　　　　　　　　　第三章　调剂使用</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第二十六条　医疗机构制剂一般不得调剂使用。发生灾情、疫情、突发事件或者临床急需而市场没有供应时，需要调剂使用的，属省级辖区内医疗机构制剂调剂的，必须经所在地省、自治区、直辖市（食品）药品监督管理部门批准；属国</w:t>
      </w:r>
      <w:proofErr w:type="gramStart"/>
      <w:r w:rsidRPr="00753E86">
        <w:rPr>
          <w:rFonts w:ascii="ˎ̥" w:hAnsi="ˎ̥" w:cs="Arial"/>
          <w:color w:val="000000"/>
          <w:kern w:val="0"/>
          <w:sz w:val="24"/>
        </w:rPr>
        <w:t>家食品</w:t>
      </w:r>
      <w:proofErr w:type="gramEnd"/>
      <w:r w:rsidRPr="00753E86">
        <w:rPr>
          <w:rFonts w:ascii="ˎ̥" w:hAnsi="ˎ̥" w:cs="Arial"/>
          <w:color w:val="000000"/>
          <w:kern w:val="0"/>
          <w:sz w:val="24"/>
        </w:rPr>
        <w:t>药品监督管理局规定的特殊制剂以及省、自治区、直辖市之间医疗机构制剂调剂的，必须经国家食品药品监督管理局批准。</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lastRenderedPageBreak/>
        <w:t xml:space="preserve">　　第二十七条　省级辖区内申请医疗机构制剂调剂使用的，应当由使用单位向所在地省、自治区、直辖市（食品）药品监督管理部门提出申请，说明使用理由、期限、数量和范围，并报送有关资料。</w:t>
      </w:r>
      <w:r w:rsidRPr="00753E86">
        <w:rPr>
          <w:rFonts w:ascii="ˎ̥" w:hAnsi="ˎ̥" w:cs="Arial"/>
          <w:color w:val="000000"/>
          <w:kern w:val="0"/>
          <w:sz w:val="24"/>
        </w:rPr>
        <w:br/>
      </w:r>
      <w:r w:rsidRPr="00753E86">
        <w:rPr>
          <w:rFonts w:ascii="ˎ̥" w:hAnsi="ˎ̥" w:cs="Arial"/>
          <w:color w:val="000000"/>
          <w:kern w:val="0"/>
          <w:sz w:val="24"/>
        </w:rPr>
        <w:t xml:space="preserve">　　省、自治区、直辖市之间医疗机构制剂的调剂使用以及国家食品药品监督管理局规定的特殊制剂的调剂使用，应当由取得制剂批准文号的医疗机构向所在地省、自治区、直辖市（食品）药品监督管理部门提出申请，说明使用理由、期限、数量和范围，经所在地省、自治区、直辖市（食品）药品监督管理部门审查同意后，由使用单位将审查意见和相关资料一并报送使用单位所在地省、自治区、直辖市（食品）药品监督管理部门审核同意后，报国</w:t>
      </w:r>
      <w:proofErr w:type="gramStart"/>
      <w:r w:rsidRPr="00753E86">
        <w:rPr>
          <w:rFonts w:ascii="ˎ̥" w:hAnsi="ˎ̥" w:cs="Arial"/>
          <w:color w:val="000000"/>
          <w:kern w:val="0"/>
          <w:sz w:val="24"/>
        </w:rPr>
        <w:t>家食品</w:t>
      </w:r>
      <w:proofErr w:type="gramEnd"/>
      <w:r w:rsidRPr="00753E86">
        <w:rPr>
          <w:rFonts w:ascii="ˎ̥" w:hAnsi="ˎ̥" w:cs="Arial"/>
          <w:color w:val="000000"/>
          <w:kern w:val="0"/>
          <w:sz w:val="24"/>
        </w:rPr>
        <w:t>药品监督管理局审批。</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第二十八条　取得制剂批准文号的医疗机构应当对调剂使用的医疗机构制剂的质量负责。接受调剂的医疗机构应当严格按照制剂的说明书使用制剂，并对超范围使用或者使用不当造成的不良后果承担责任。</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第二十九条　医疗机构制剂的调剂使用，不得超出规定的期限、数量和范围。</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br/>
      </w:r>
      <w:r w:rsidRPr="00753E86">
        <w:rPr>
          <w:rFonts w:ascii="ˎ̥" w:hAnsi="ˎ̥" w:cs="Arial"/>
          <w:color w:val="000000"/>
          <w:kern w:val="0"/>
          <w:sz w:val="24"/>
        </w:rPr>
        <w:t xml:space="preserve">　　　　　　　　　　　　　　第四章　补充申请与再注册</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第三十条　医疗机构配制制剂，应当严格执行经批准的质量标准，并不得擅自变更工艺、处方、配制地点和委托配制单位。需要变更的，申请人应当提出补充申请，报送相关资料，经批准后方可执行。</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第三十一条　医疗机构制剂批准文号的有效期为</w:t>
      </w:r>
      <w:r w:rsidRPr="00753E86">
        <w:rPr>
          <w:rFonts w:ascii="ˎ̥" w:hAnsi="ˎ̥" w:cs="Arial"/>
          <w:color w:val="000000"/>
          <w:kern w:val="0"/>
          <w:sz w:val="24"/>
        </w:rPr>
        <w:t>3</w:t>
      </w:r>
      <w:r w:rsidRPr="00753E86">
        <w:rPr>
          <w:rFonts w:ascii="ˎ̥" w:hAnsi="ˎ̥" w:cs="Arial"/>
          <w:color w:val="000000"/>
          <w:kern w:val="0"/>
          <w:sz w:val="24"/>
        </w:rPr>
        <w:t>年。有效期届满需要继续配制的，申请人应当在有效期届满前</w:t>
      </w:r>
      <w:r w:rsidRPr="00753E86">
        <w:rPr>
          <w:rFonts w:ascii="ˎ̥" w:hAnsi="ˎ̥" w:cs="Arial"/>
          <w:color w:val="000000"/>
          <w:kern w:val="0"/>
          <w:sz w:val="24"/>
        </w:rPr>
        <w:t>3</w:t>
      </w:r>
      <w:r w:rsidRPr="00753E86">
        <w:rPr>
          <w:rFonts w:ascii="ˎ̥" w:hAnsi="ˎ̥" w:cs="Arial"/>
          <w:color w:val="000000"/>
          <w:kern w:val="0"/>
          <w:sz w:val="24"/>
        </w:rPr>
        <w:t>个月按照原申请配制程序提出再注册申请，报送有关资料。</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第三十二条　省、自治区、直辖市（食品）药品监督管理部门应当在受理再注册申请后</w:t>
      </w:r>
      <w:r w:rsidRPr="00753E86">
        <w:rPr>
          <w:rFonts w:ascii="ˎ̥" w:hAnsi="ˎ̥" w:cs="Arial"/>
          <w:color w:val="000000"/>
          <w:kern w:val="0"/>
          <w:sz w:val="24"/>
        </w:rPr>
        <w:t>30</w:t>
      </w:r>
      <w:r w:rsidRPr="00753E86">
        <w:rPr>
          <w:rFonts w:ascii="ˎ̥" w:hAnsi="ˎ̥" w:cs="Arial"/>
          <w:color w:val="000000"/>
          <w:kern w:val="0"/>
          <w:sz w:val="24"/>
        </w:rPr>
        <w:t>日内，</w:t>
      </w:r>
      <w:proofErr w:type="gramStart"/>
      <w:r w:rsidRPr="00753E86">
        <w:rPr>
          <w:rFonts w:ascii="ˎ̥" w:hAnsi="ˎ̥" w:cs="Arial"/>
          <w:color w:val="000000"/>
          <w:kern w:val="0"/>
          <w:sz w:val="24"/>
        </w:rPr>
        <w:t>作出</w:t>
      </w:r>
      <w:proofErr w:type="gramEnd"/>
      <w:r w:rsidRPr="00753E86">
        <w:rPr>
          <w:rFonts w:ascii="ˎ̥" w:hAnsi="ˎ̥" w:cs="Arial"/>
          <w:color w:val="000000"/>
          <w:kern w:val="0"/>
          <w:sz w:val="24"/>
        </w:rPr>
        <w:t>是否批准再注册的决定。准予再注册的，应当自决定做出之日起</w:t>
      </w:r>
      <w:r w:rsidRPr="00753E86">
        <w:rPr>
          <w:rFonts w:ascii="ˎ̥" w:hAnsi="ˎ̥" w:cs="Arial"/>
          <w:color w:val="000000"/>
          <w:kern w:val="0"/>
          <w:sz w:val="24"/>
        </w:rPr>
        <w:t>10</w:t>
      </w:r>
      <w:r w:rsidRPr="00753E86">
        <w:rPr>
          <w:rFonts w:ascii="ˎ̥" w:hAnsi="ˎ̥" w:cs="Arial"/>
          <w:color w:val="000000"/>
          <w:kern w:val="0"/>
          <w:sz w:val="24"/>
        </w:rPr>
        <w:t>日内通知申请人，予以换发《医疗机构制剂注册批件》，并报国</w:t>
      </w:r>
      <w:proofErr w:type="gramStart"/>
      <w:r w:rsidRPr="00753E86">
        <w:rPr>
          <w:rFonts w:ascii="ˎ̥" w:hAnsi="ˎ̥" w:cs="Arial"/>
          <w:color w:val="000000"/>
          <w:kern w:val="0"/>
          <w:sz w:val="24"/>
        </w:rPr>
        <w:t>家食品</w:t>
      </w:r>
      <w:proofErr w:type="gramEnd"/>
      <w:r w:rsidRPr="00753E86">
        <w:rPr>
          <w:rFonts w:ascii="ˎ̥" w:hAnsi="ˎ̥" w:cs="Arial"/>
          <w:color w:val="000000"/>
          <w:kern w:val="0"/>
          <w:sz w:val="24"/>
        </w:rPr>
        <w:t>药品监督管理局备案。</w:t>
      </w:r>
      <w:r w:rsidRPr="00753E86">
        <w:rPr>
          <w:rFonts w:ascii="ˎ̥" w:hAnsi="ˎ̥" w:cs="Arial"/>
          <w:color w:val="000000"/>
          <w:kern w:val="0"/>
          <w:sz w:val="24"/>
        </w:rPr>
        <w:br/>
      </w:r>
      <w:r w:rsidRPr="00753E86">
        <w:rPr>
          <w:rFonts w:ascii="ˎ̥" w:hAnsi="ˎ̥" w:cs="Arial"/>
          <w:color w:val="000000"/>
          <w:kern w:val="0"/>
          <w:sz w:val="24"/>
        </w:rPr>
        <w:lastRenderedPageBreak/>
        <w:t xml:space="preserve">　　决定</w:t>
      </w:r>
      <w:proofErr w:type="gramStart"/>
      <w:r w:rsidRPr="00753E86">
        <w:rPr>
          <w:rFonts w:ascii="ˎ̥" w:hAnsi="ˎ̥" w:cs="Arial"/>
          <w:color w:val="000000"/>
          <w:kern w:val="0"/>
          <w:sz w:val="24"/>
        </w:rPr>
        <w:t>不予再</w:t>
      </w:r>
      <w:proofErr w:type="gramEnd"/>
      <w:r w:rsidRPr="00753E86">
        <w:rPr>
          <w:rFonts w:ascii="ˎ̥" w:hAnsi="ˎ̥" w:cs="Arial"/>
          <w:color w:val="000000"/>
          <w:kern w:val="0"/>
          <w:sz w:val="24"/>
        </w:rPr>
        <w:t>注册的，应当书面通知申请人并说明理由，同时告知申请人享有依法申请行政复议或者提起行政诉讼的权利。</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第三十三条　有下列情形之一的，省、自治区、直辖市（食品）药品监督管理部门不予批准再注册，并注销制剂批准文号：</w:t>
      </w:r>
      <w:r w:rsidRPr="00753E86">
        <w:rPr>
          <w:rFonts w:ascii="ˎ̥" w:hAnsi="ˎ̥" w:cs="Arial"/>
          <w:color w:val="000000"/>
          <w:kern w:val="0"/>
          <w:sz w:val="24"/>
        </w:rPr>
        <w:br/>
      </w:r>
      <w:r w:rsidRPr="00753E86">
        <w:rPr>
          <w:rFonts w:ascii="ˎ̥" w:hAnsi="ˎ̥" w:cs="Arial"/>
          <w:color w:val="000000"/>
          <w:kern w:val="0"/>
          <w:sz w:val="24"/>
        </w:rPr>
        <w:t xml:space="preserve">　　（一）市场上已有供应的品种；</w:t>
      </w:r>
      <w:r w:rsidRPr="00753E86">
        <w:rPr>
          <w:rFonts w:ascii="ˎ̥" w:hAnsi="ˎ̥" w:cs="Arial"/>
          <w:color w:val="000000"/>
          <w:kern w:val="0"/>
          <w:sz w:val="24"/>
        </w:rPr>
        <w:br/>
      </w:r>
      <w:r w:rsidRPr="00753E86">
        <w:rPr>
          <w:rFonts w:ascii="ˎ̥" w:hAnsi="ˎ̥" w:cs="Arial"/>
          <w:color w:val="000000"/>
          <w:kern w:val="0"/>
          <w:sz w:val="24"/>
        </w:rPr>
        <w:t xml:space="preserve">　　（二）按照本办法应予撤销批准文号的：</w:t>
      </w:r>
      <w:r w:rsidRPr="00753E86">
        <w:rPr>
          <w:rFonts w:ascii="ˎ̥" w:hAnsi="ˎ̥" w:cs="Arial"/>
          <w:color w:val="000000"/>
          <w:kern w:val="0"/>
          <w:sz w:val="24"/>
        </w:rPr>
        <w:br/>
      </w:r>
      <w:r w:rsidRPr="00753E86">
        <w:rPr>
          <w:rFonts w:ascii="ˎ̥" w:hAnsi="ˎ̥" w:cs="Arial"/>
          <w:color w:val="000000"/>
          <w:kern w:val="0"/>
          <w:sz w:val="24"/>
        </w:rPr>
        <w:t xml:space="preserve">　　（三）未在规定时间内提出再注册申请的；</w:t>
      </w:r>
      <w:r w:rsidRPr="00753E86">
        <w:rPr>
          <w:rFonts w:ascii="ˎ̥" w:hAnsi="ˎ̥" w:cs="Arial"/>
          <w:color w:val="000000"/>
          <w:kern w:val="0"/>
          <w:sz w:val="24"/>
        </w:rPr>
        <w:br/>
      </w:r>
      <w:r w:rsidRPr="00753E86">
        <w:rPr>
          <w:rFonts w:ascii="ˎ̥" w:hAnsi="ˎ̥" w:cs="Arial"/>
          <w:color w:val="000000"/>
          <w:kern w:val="0"/>
          <w:sz w:val="24"/>
        </w:rPr>
        <w:t xml:space="preserve">　　（四）其他不符合规定的。</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第三十四条　已被注销批准文号的医疗机构制剂，不得配制和使用；已经配制的，由当地（食品）药品监督管理部门监督销毁或者处理。</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第五章　监督管理</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第三十五条　配制和使用制剂的医疗机构应当注意观察制剂不良反应，并按照国家食品药品监督管理局的有关规定报告和处理。</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第三十六条　省、自治区、直辖市（食品）药品监督管理部门对质量不稳定、疗效不确切、不良反应大或者其他原因危害人体健康的医疗机构制剂，应当责令医疗机构停止配制，并撤销其批准文号。</w:t>
      </w:r>
      <w:r w:rsidRPr="00753E86">
        <w:rPr>
          <w:rFonts w:ascii="ˎ̥" w:hAnsi="ˎ̥" w:cs="Arial"/>
          <w:color w:val="000000"/>
          <w:kern w:val="0"/>
          <w:sz w:val="24"/>
        </w:rPr>
        <w:br/>
      </w:r>
      <w:r w:rsidRPr="00753E86">
        <w:rPr>
          <w:rFonts w:ascii="ˎ̥" w:hAnsi="ˎ̥" w:cs="Arial"/>
          <w:color w:val="000000"/>
          <w:kern w:val="0"/>
          <w:sz w:val="24"/>
        </w:rPr>
        <w:t xml:space="preserve">　　已被撤销批准文号的医疗机构制剂，不得配制和使用；已经配制的，由当地（食品）药品监督管理部门监督销毁或者处理。</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第三十七条　医疗机构制剂的抽查检验，按照国家食品药品监督管理局药品抽查检验的有关规定执行。</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第三十八条　医疗机构不再具有配制制剂的资格或者条件时，其取得的相应制剂批准文号自行废止，并由省、自治区、直辖市（食品）药品监督管理部门予以注销，但允许委托配制的中药制剂批准文号除外。允许委托配制的中药制剂如需继续配制，可参照本办法第三十条变更委托配制单位的规定提出委托配制的补充申请。</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lastRenderedPageBreak/>
        <w:t xml:space="preserve">　　第三十九条　未经批准，医疗机构擅自使用其他医疗机构配制的制剂的，依照《药品管理法》第八十条的规定给予处罚。</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第四十条　医疗机构配制制剂，违反《药品管理法》第四十八条、第四十九条规定的，分别依照《药品管理法》第七十四条、第七十五条的规定给予处罚。</w:t>
      </w:r>
      <w:r w:rsidRPr="00753E86">
        <w:rPr>
          <w:rFonts w:ascii="ˎ̥" w:hAnsi="ˎ̥" w:cs="Arial"/>
          <w:color w:val="000000"/>
          <w:kern w:val="0"/>
          <w:sz w:val="24"/>
        </w:rPr>
        <w:br/>
      </w:r>
      <w:r w:rsidRPr="00753E86">
        <w:rPr>
          <w:rFonts w:ascii="ˎ̥" w:hAnsi="ˎ̥" w:cs="Arial"/>
          <w:color w:val="000000"/>
          <w:kern w:val="0"/>
          <w:sz w:val="24"/>
        </w:rPr>
        <w:t xml:space="preserve">　　未按省、自治区、直辖市（食品）药品监督管理部门批准的标准配制制剂的，属于《药品管理法》第四十九条第三款第六项其他不符合药品标准规定的情形，依照《药品管理法》第七十五条的规定给予处罚。</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第四十一条　提供虚假的证明文件、申报资料、样品或者采取其他欺骗手段申请批准证明文件的，省、自治区、直辖市（食品）药品监督管理部门对该申请不予受理，对申请人给予警告，一年内不受理其申请；已取得批准证明文件的，撤销其批准证明文件，五年内不受理其申请，并处一万元以上三万元以下罚款。</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第四十二条　医疗机构配制的制剂不得在市场上销售或者变相销售，不得发布医疗机构制剂广告。</w:t>
      </w:r>
      <w:r w:rsidRPr="00753E86">
        <w:rPr>
          <w:rFonts w:ascii="ˎ̥" w:hAnsi="ˎ̥" w:cs="Arial"/>
          <w:color w:val="000000"/>
          <w:kern w:val="0"/>
          <w:sz w:val="24"/>
        </w:rPr>
        <w:br/>
      </w:r>
      <w:r w:rsidRPr="00753E86">
        <w:rPr>
          <w:rFonts w:ascii="ˎ̥" w:hAnsi="ˎ̥" w:cs="Arial"/>
          <w:color w:val="000000"/>
          <w:kern w:val="0"/>
          <w:sz w:val="24"/>
        </w:rPr>
        <w:t xml:space="preserve">　　医疗机构将其配制的制剂在市场上销售或者变相销售的，依照《药品管理法》第八十四条的规定给予处罚。</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第四十三条　省、自治区、直辖市（食品）药品监督管理部门违反本办法的行政行为，国家食品药品监督管理局应当责令其限期改正；逾期不改正的，由国家食品药品监督管理局予以改变或者撤销。</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br/>
      </w:r>
      <w:r w:rsidRPr="00753E86">
        <w:rPr>
          <w:rFonts w:ascii="ˎ̥" w:hAnsi="ˎ̥" w:cs="Arial"/>
          <w:color w:val="000000"/>
          <w:kern w:val="0"/>
          <w:sz w:val="24"/>
        </w:rPr>
        <w:t xml:space="preserve">　　　　　　　　　　　　　　　　</w:t>
      </w:r>
      <w:r w:rsidRPr="00753E86">
        <w:rPr>
          <w:rFonts w:ascii="ˎ̥" w:hAnsi="ˎ̥" w:cs="Arial"/>
          <w:color w:val="000000"/>
          <w:kern w:val="0"/>
          <w:sz w:val="24"/>
        </w:rPr>
        <w:t xml:space="preserve"> </w:t>
      </w:r>
      <w:r w:rsidRPr="00753E86">
        <w:rPr>
          <w:rFonts w:ascii="ˎ̥" w:hAnsi="ˎ̥" w:cs="Arial"/>
          <w:color w:val="000000"/>
          <w:kern w:val="0"/>
          <w:sz w:val="24"/>
        </w:rPr>
        <w:t>第六章　附　则</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第四十四条　本办法规定的行政机关实施行政许可的期限以工作日计算，不含法定节假日。</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t xml:space="preserve">　　第四十五条　本办法中</w:t>
      </w:r>
      <w:r w:rsidRPr="00753E86">
        <w:rPr>
          <w:rFonts w:ascii="ˎ̥" w:hAnsi="ˎ̥" w:cs="Arial"/>
          <w:color w:val="000000"/>
          <w:kern w:val="0"/>
          <w:sz w:val="24"/>
        </w:rPr>
        <w:t>“</w:t>
      </w:r>
      <w:r w:rsidRPr="00753E86">
        <w:rPr>
          <w:rFonts w:ascii="ˎ̥" w:hAnsi="ˎ̥" w:cs="Arial"/>
          <w:color w:val="000000"/>
          <w:kern w:val="0"/>
          <w:sz w:val="24"/>
        </w:rPr>
        <w:t>固定处方制剂</w:t>
      </w:r>
      <w:r w:rsidRPr="00753E86">
        <w:rPr>
          <w:rFonts w:ascii="ˎ̥" w:hAnsi="ˎ̥" w:cs="Arial"/>
          <w:color w:val="000000"/>
          <w:kern w:val="0"/>
          <w:sz w:val="24"/>
        </w:rPr>
        <w:t>”</w:t>
      </w:r>
      <w:r w:rsidRPr="00753E86">
        <w:rPr>
          <w:rFonts w:ascii="ˎ̥" w:hAnsi="ˎ̥" w:cs="Arial"/>
          <w:color w:val="000000"/>
          <w:kern w:val="0"/>
          <w:sz w:val="24"/>
        </w:rPr>
        <w:t>，是指制剂处方固定不变，配制工艺成熟，并且可在临床上长期使用于某一病症的制剂。</w:t>
      </w:r>
    </w:p>
    <w:p w:rsidR="00753E86" w:rsidRPr="00753E86" w:rsidRDefault="00753E86" w:rsidP="00753E86">
      <w:pPr>
        <w:widowControl/>
        <w:spacing w:before="100" w:beforeAutospacing="1" w:after="100" w:afterAutospacing="1" w:line="360" w:lineRule="auto"/>
        <w:jc w:val="left"/>
        <w:rPr>
          <w:rFonts w:ascii="ˎ̥" w:hAnsi="ˎ̥" w:cs="Arial"/>
          <w:color w:val="000000"/>
          <w:kern w:val="0"/>
          <w:sz w:val="24"/>
        </w:rPr>
      </w:pPr>
      <w:r w:rsidRPr="00753E86">
        <w:rPr>
          <w:rFonts w:ascii="ˎ̥" w:hAnsi="ˎ̥" w:cs="Arial"/>
          <w:color w:val="000000"/>
          <w:kern w:val="0"/>
          <w:sz w:val="24"/>
        </w:rPr>
        <w:lastRenderedPageBreak/>
        <w:t xml:space="preserve">　　第四十六条　省、自治区、直辖市（食品）药品监督管理部门可以根据本办法，结合本地实际制定实施细则。</w:t>
      </w:r>
    </w:p>
    <w:p w:rsidR="00753E86" w:rsidRPr="00753E86" w:rsidRDefault="00753E86" w:rsidP="00753E86">
      <w:pPr>
        <w:widowControl/>
        <w:spacing w:before="100" w:beforeAutospacing="1" w:after="240" w:line="360" w:lineRule="auto"/>
        <w:jc w:val="left"/>
        <w:rPr>
          <w:rFonts w:ascii="ˎ̥" w:hAnsi="ˎ̥" w:cs="Arial"/>
          <w:color w:val="000000"/>
          <w:kern w:val="0"/>
          <w:sz w:val="24"/>
        </w:rPr>
      </w:pPr>
      <w:r w:rsidRPr="00753E86">
        <w:rPr>
          <w:rFonts w:ascii="ˎ̥" w:hAnsi="ˎ̥" w:cs="Arial"/>
          <w:color w:val="000000"/>
          <w:kern w:val="0"/>
          <w:sz w:val="24"/>
        </w:rPr>
        <w:t xml:space="preserve">　　第四十七条　本办法自</w:t>
      </w:r>
      <w:r w:rsidRPr="00753E86">
        <w:rPr>
          <w:rFonts w:ascii="ˎ̥" w:hAnsi="ˎ̥" w:cs="Arial"/>
          <w:color w:val="000000"/>
          <w:kern w:val="0"/>
          <w:sz w:val="24"/>
        </w:rPr>
        <w:t>2005</w:t>
      </w:r>
      <w:r w:rsidRPr="00753E86">
        <w:rPr>
          <w:rFonts w:ascii="ˎ̥" w:hAnsi="ˎ̥" w:cs="Arial"/>
          <w:color w:val="000000"/>
          <w:kern w:val="0"/>
          <w:sz w:val="24"/>
        </w:rPr>
        <w:t>年</w:t>
      </w:r>
      <w:r w:rsidRPr="00753E86">
        <w:rPr>
          <w:rFonts w:ascii="ˎ̥" w:hAnsi="ˎ̥" w:cs="Arial"/>
          <w:color w:val="000000"/>
          <w:kern w:val="0"/>
          <w:sz w:val="24"/>
        </w:rPr>
        <w:t>8</w:t>
      </w:r>
      <w:r w:rsidRPr="00753E86">
        <w:rPr>
          <w:rFonts w:ascii="ˎ̥" w:hAnsi="ˎ̥" w:cs="Arial"/>
          <w:color w:val="000000"/>
          <w:kern w:val="0"/>
          <w:sz w:val="24"/>
        </w:rPr>
        <w:t>月</w:t>
      </w:r>
      <w:r w:rsidRPr="00753E86">
        <w:rPr>
          <w:rFonts w:ascii="ˎ̥" w:hAnsi="ˎ̥" w:cs="Arial"/>
          <w:color w:val="000000"/>
          <w:kern w:val="0"/>
          <w:sz w:val="24"/>
        </w:rPr>
        <w:t>1</w:t>
      </w:r>
      <w:r w:rsidRPr="00753E86">
        <w:rPr>
          <w:rFonts w:ascii="ˎ̥" w:hAnsi="ˎ̥" w:cs="Arial"/>
          <w:color w:val="000000"/>
          <w:kern w:val="0"/>
          <w:sz w:val="24"/>
        </w:rPr>
        <w:t>日起施行。</w:t>
      </w:r>
    </w:p>
    <w:p w:rsidR="00753E86" w:rsidRPr="00753E86" w:rsidRDefault="00753E86" w:rsidP="00753E86">
      <w:pPr>
        <w:spacing w:line="360" w:lineRule="auto"/>
        <w:ind w:firstLineChars="200" w:firstLine="480"/>
        <w:jc w:val="left"/>
        <w:rPr>
          <w:rFonts w:ascii="宋体" w:hAnsi="宋体" w:cs="宋体" w:hint="eastAsia"/>
          <w:color w:val="000000"/>
          <w:sz w:val="24"/>
        </w:rPr>
      </w:pPr>
    </w:p>
    <w:p w:rsidR="002428BC" w:rsidRPr="00753E86" w:rsidRDefault="002428BC" w:rsidP="00753E86">
      <w:pPr>
        <w:spacing w:line="360" w:lineRule="auto"/>
        <w:rPr>
          <w:sz w:val="24"/>
        </w:rPr>
      </w:pPr>
    </w:p>
    <w:sectPr w:rsidR="002428BC" w:rsidRPr="00753E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E86"/>
    <w:rsid w:val="002428BC"/>
    <w:rsid w:val="00753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E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E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744</Words>
  <Characters>4243</Characters>
  <Application>Microsoft Office Word</Application>
  <DocSecurity>0</DocSecurity>
  <Lines>35</Lines>
  <Paragraphs>9</Paragraphs>
  <ScaleCrop>false</ScaleCrop>
  <Company>微软中国</Company>
  <LinksUpToDate>false</LinksUpToDate>
  <CharactersWithSpaces>4978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2017-12-08T01:15:00Z</dcterms:created>
  <dcterms:modified xsi:type="dcterms:W3CDTF">2017-12-08T01:16:00Z</dcterms:modified>
</cp:coreProperties>
</file>